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sz w:val="44"/>
          <w:szCs w:val="44"/>
          <w:lang w:val="en-US" w:eastAsia="zh-CN"/>
        </w:rPr>
      </w:pPr>
    </w:p>
    <w:p>
      <w:pPr>
        <w:spacing w:line="600" w:lineRule="exact"/>
        <w:jc w:val="center"/>
        <w:rPr>
          <w:rFonts w:hint="eastAsia" w:ascii="方正小标宋简体" w:eastAsia="方正小标宋简体"/>
          <w:sz w:val="44"/>
          <w:szCs w:val="44"/>
          <w:lang w:val="en-US" w:eastAsia="zh-CN"/>
        </w:rPr>
      </w:pP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聊城市卫生健康委员会</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lang w:val="en-US" w:eastAsia="zh-CN"/>
        </w:rPr>
        <w:t>2023年</w:t>
      </w:r>
      <w:r>
        <w:rPr>
          <w:rFonts w:hint="eastAsia" w:ascii="方正小标宋简体" w:eastAsia="方正小标宋简体"/>
          <w:sz w:val="44"/>
          <w:szCs w:val="44"/>
        </w:rPr>
        <w:t>政府信息公开工作年度报告</w:t>
      </w:r>
    </w:p>
    <w:p>
      <w:pPr>
        <w:spacing w:line="600" w:lineRule="exact"/>
        <w:rPr>
          <w:rFonts w:hint="eastAsia" w:ascii="仿宋_GB2312" w:eastAsia="仿宋_GB2312"/>
          <w:sz w:val="32"/>
          <w:szCs w:val="32"/>
        </w:rPr>
      </w:pPr>
    </w:p>
    <w:p>
      <w:pPr>
        <w:spacing w:line="60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2023年，聊城市卫生健康委按照</w:t>
      </w:r>
      <w:r>
        <w:rPr>
          <w:rFonts w:hint="eastAsia" w:ascii="仿宋_GB2312" w:eastAsia="仿宋_GB2312"/>
          <w:sz w:val="32"/>
          <w:szCs w:val="32"/>
        </w:rPr>
        <w:t>《中华人民共和国政府信息公开条例》（国务院令第711号）</w:t>
      </w:r>
      <w:r>
        <w:rPr>
          <w:rFonts w:hint="eastAsia" w:ascii="仿宋_GB2312"/>
          <w:sz w:val="32"/>
          <w:szCs w:val="32"/>
          <w:lang w:eastAsia="zh-CN"/>
        </w:rPr>
        <w:t>，对照《聊城市2023年政务公开工作要点》（聊政办发〔2023〕9号）要求</w:t>
      </w:r>
      <w:r>
        <w:rPr>
          <w:rFonts w:hint="eastAsia" w:ascii="仿宋_GB2312" w:eastAsia="仿宋_GB2312"/>
          <w:sz w:val="32"/>
          <w:szCs w:val="32"/>
        </w:rPr>
        <w:t>，</w:t>
      </w:r>
      <w:r>
        <w:rPr>
          <w:rFonts w:hint="eastAsia" w:ascii="仿宋_GB2312" w:eastAsia="仿宋_GB2312"/>
          <w:sz w:val="32"/>
          <w:szCs w:val="32"/>
          <w:lang w:val="en-US" w:eastAsia="zh-CN"/>
        </w:rPr>
        <w:t>紧密结合卫生健康工作</w:t>
      </w:r>
      <w:r>
        <w:rPr>
          <w:rFonts w:hint="eastAsia" w:ascii="仿宋_GB2312"/>
          <w:sz w:val="32"/>
          <w:szCs w:val="32"/>
          <w:lang w:val="en-US" w:eastAsia="zh-CN"/>
        </w:rPr>
        <w:t>实际</w:t>
      </w:r>
      <w:r>
        <w:rPr>
          <w:rFonts w:hint="eastAsia" w:ascii="仿宋_GB2312" w:eastAsia="仿宋_GB2312"/>
          <w:sz w:val="32"/>
          <w:szCs w:val="32"/>
          <w:lang w:val="en-US" w:eastAsia="zh-CN"/>
        </w:rPr>
        <w:t>，聚焦社会热点，紧贴群众需求，将政务公开与便民就医深度融合，不断拓展政务公开渠道，充分保障群众知情权、监督权和参与权</w:t>
      </w:r>
      <w:r>
        <w:rPr>
          <w:rFonts w:hint="eastAsia" w:ascii="仿宋_GB2312"/>
          <w:sz w:val="32"/>
          <w:szCs w:val="32"/>
          <w:lang w:val="en-US" w:eastAsia="zh-CN"/>
        </w:rPr>
        <w:t>，</w:t>
      </w:r>
      <w:r>
        <w:rPr>
          <w:rFonts w:hint="eastAsia" w:ascii="仿宋_GB2312" w:eastAsia="仿宋_GB2312"/>
          <w:sz w:val="32"/>
          <w:szCs w:val="32"/>
          <w:lang w:val="en-US" w:eastAsia="zh-CN"/>
        </w:rPr>
        <w:t>持续提高政务公开工作质量</w:t>
      </w:r>
      <w:r>
        <w:rPr>
          <w:rFonts w:hint="eastAsia" w:ascii="仿宋_GB2312"/>
          <w:sz w:val="32"/>
          <w:szCs w:val="32"/>
          <w:lang w:val="en-US" w:eastAsia="zh-CN"/>
        </w:rPr>
        <w:t>。市卫健委办公室获评为“</w:t>
      </w:r>
      <w:r>
        <w:rPr>
          <w:rFonts w:hint="eastAsia" w:ascii="仿宋_GB2312" w:eastAsia="仿宋_GB2312"/>
          <w:sz w:val="32"/>
          <w:szCs w:val="32"/>
          <w:lang w:val="en-US" w:eastAsia="zh-CN"/>
        </w:rPr>
        <w:t>山东省政务公开工作先进集体</w:t>
      </w:r>
      <w:r>
        <w:rPr>
          <w:rFonts w:hint="eastAsia" w:ascii="仿宋_GB2312"/>
          <w:sz w:val="32"/>
          <w:szCs w:val="32"/>
          <w:lang w:val="en-US" w:eastAsia="zh-CN"/>
        </w:rPr>
        <w:t>”。</w:t>
      </w:r>
    </w:p>
    <w:p>
      <w:pPr>
        <w:spacing w:line="600" w:lineRule="exact"/>
        <w:ind w:firstLine="640" w:firstLineChars="200"/>
        <w:rPr>
          <w:rFonts w:hint="eastAsia" w:ascii="楷体_GB2312" w:eastAsia="楷体_GB2312"/>
          <w:b/>
          <w:bCs/>
          <w:sz w:val="32"/>
          <w:szCs w:val="32"/>
          <w:lang w:eastAsia="zh-CN"/>
        </w:rPr>
      </w:pPr>
      <w:r>
        <w:rPr>
          <w:rFonts w:hint="eastAsia" w:ascii="黑体" w:hAnsi="黑体" w:eastAsia="黑体"/>
          <w:sz w:val="32"/>
          <w:szCs w:val="32"/>
        </w:rPr>
        <w:t>一、</w:t>
      </w:r>
      <w:r>
        <w:rPr>
          <w:rFonts w:hint="eastAsia" w:ascii="楷体_GB2312" w:eastAsia="楷体_GB2312"/>
          <w:b/>
          <w:bCs/>
          <w:sz w:val="32"/>
          <w:szCs w:val="32"/>
        </w:rPr>
        <w:t>总体情况</w:t>
      </w:r>
    </w:p>
    <w:p>
      <w:pPr>
        <w:spacing w:line="600" w:lineRule="exact"/>
        <w:ind w:firstLine="643" w:firstLineChars="200"/>
        <w:rPr>
          <w:rFonts w:hint="eastAsia" w:ascii="仿宋_GB2312" w:eastAsia="仿宋_GB2312"/>
          <w:sz w:val="32"/>
          <w:szCs w:val="32"/>
          <w:lang w:val="en-US" w:eastAsia="zh-CN"/>
        </w:rPr>
      </w:pPr>
      <w:r>
        <w:rPr>
          <w:rFonts w:hint="eastAsia" w:ascii="楷体_GB2312" w:eastAsia="楷体_GB2312"/>
          <w:b/>
          <w:bCs/>
          <w:sz w:val="32"/>
          <w:szCs w:val="32"/>
        </w:rPr>
        <w:drawing>
          <wp:anchor distT="0" distB="0" distL="114300" distR="114300" simplePos="0" relativeHeight="251663360" behindDoc="1" locked="0" layoutInCell="1" allowOverlap="1">
            <wp:simplePos x="0" y="0"/>
            <wp:positionH relativeFrom="column">
              <wp:posOffset>263525</wp:posOffset>
            </wp:positionH>
            <wp:positionV relativeFrom="paragraph">
              <wp:posOffset>56515</wp:posOffset>
            </wp:positionV>
            <wp:extent cx="5345430" cy="2546350"/>
            <wp:effectExtent l="0" t="0" r="64770" b="6350"/>
            <wp:wrapTight wrapText="bothSides">
              <wp:wrapPolygon>
                <wp:start x="0" y="0"/>
                <wp:lineTo x="0" y="21492"/>
                <wp:lineTo x="21554" y="21492"/>
                <wp:lineTo x="21554" y="0"/>
                <wp:lineTo x="0" y="0"/>
              </wp:wrapPolygon>
            </wp:wrapTight>
            <wp:docPr id="1" name="图片 1" descr="1705543866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705543866241"/>
                    <pic:cNvPicPr>
                      <a:picLocks noChangeAspect="1"/>
                    </pic:cNvPicPr>
                  </pic:nvPicPr>
                  <pic:blipFill>
                    <a:blip r:embed="rId6"/>
                    <a:stretch>
                      <a:fillRect/>
                    </a:stretch>
                  </pic:blipFill>
                  <pic:spPr>
                    <a:xfrm>
                      <a:off x="0" y="0"/>
                      <a:ext cx="5345430" cy="2546350"/>
                    </a:xfrm>
                    <a:prstGeom prst="rect">
                      <a:avLst/>
                    </a:prstGeom>
                  </pic:spPr>
                </pic:pic>
              </a:graphicData>
            </a:graphic>
          </wp:anchor>
        </w:drawing>
      </w:r>
      <w:r>
        <w:rPr>
          <w:rFonts w:hint="eastAsia" w:ascii="仿宋_GB2312" w:eastAsia="仿宋_GB2312"/>
          <w:sz w:val="32"/>
          <w:szCs w:val="32"/>
          <w:lang w:val="en-US" w:eastAsia="zh-CN"/>
        </w:rPr>
        <w:t>全年信息发布总数1316条，</w:t>
      </w:r>
      <w:r>
        <w:rPr>
          <w:rFonts w:hint="eastAsia" w:ascii="仿宋_GB2312"/>
          <w:sz w:val="32"/>
          <w:szCs w:val="32"/>
          <w:lang w:val="en-US" w:eastAsia="zh-CN"/>
        </w:rPr>
        <w:t>其中</w:t>
      </w:r>
      <w:r>
        <w:rPr>
          <w:rFonts w:hint="eastAsia" w:ascii="仿宋_GB2312" w:eastAsia="仿宋_GB2312"/>
          <w:sz w:val="32"/>
          <w:szCs w:val="32"/>
          <w:lang w:val="en-US" w:eastAsia="zh-CN"/>
        </w:rPr>
        <w:t>概况类信息更新49条，政务动态信息更新586条，信息公开目录信息更新486条，图片新闻162条，专题专栏33条；解读信息发布22条，</w:t>
      </w:r>
      <w:r>
        <w:rPr>
          <w:rFonts w:hint="eastAsia" w:ascii="仿宋_GB2312"/>
          <w:sz w:val="32"/>
          <w:szCs w:val="32"/>
          <w:lang w:val="en-US" w:eastAsia="zh-CN"/>
        </w:rPr>
        <w:t>其中</w:t>
      </w:r>
      <w:r>
        <w:rPr>
          <w:rFonts w:hint="eastAsia" w:ascii="仿宋_GB2312" w:eastAsia="仿宋_GB2312"/>
          <w:sz w:val="32"/>
          <w:szCs w:val="32"/>
          <w:lang w:val="en-US" w:eastAsia="zh-CN"/>
        </w:rPr>
        <w:t>解读材料17条</w:t>
      </w:r>
      <w:r>
        <w:rPr>
          <w:rFonts w:hint="eastAsia" w:ascii="仿宋_GB2312"/>
          <w:sz w:val="32"/>
          <w:szCs w:val="32"/>
          <w:lang w:val="en-US" w:eastAsia="zh-CN"/>
        </w:rPr>
        <w:t>、</w:t>
      </w:r>
      <w:r>
        <w:rPr>
          <w:rFonts w:hint="eastAsia" w:ascii="仿宋_GB2312" w:eastAsia="仿宋_GB2312"/>
          <w:sz w:val="32"/>
          <w:szCs w:val="32"/>
          <w:lang w:val="en-US" w:eastAsia="zh-CN"/>
        </w:rPr>
        <w:t>解读产品5条；政务主动公开目录107项，新增23项；发布部门文件2件，专项规划3件；公共卫生领域发布</w:t>
      </w:r>
      <w:r>
        <w:rPr>
          <w:rFonts w:hint="eastAsia" w:ascii="仿宋_GB2312"/>
          <w:sz w:val="32"/>
          <w:szCs w:val="32"/>
          <w:lang w:val="en-US" w:eastAsia="zh-CN"/>
        </w:rPr>
        <w:t>行政执法</w:t>
      </w:r>
      <w:r>
        <w:rPr>
          <w:rFonts w:hint="eastAsia" w:ascii="仿宋_GB2312" w:eastAsia="仿宋_GB2312"/>
          <w:sz w:val="32"/>
          <w:szCs w:val="32"/>
          <w:lang w:val="en-US" w:eastAsia="zh-CN"/>
        </w:rPr>
        <w:t>检查情况18条。</w:t>
      </w:r>
    </w:p>
    <w:p>
      <w:pPr>
        <w:numPr>
          <w:ilvl w:val="0"/>
          <w:numId w:val="0"/>
        </w:numPr>
        <w:spacing w:line="600" w:lineRule="exact"/>
        <w:ind w:firstLine="640" w:firstLineChars="200"/>
        <w:rPr>
          <w:rFonts w:hint="eastAsia" w:ascii="仿宋_GB2312" w:eastAsia="仿宋_GB2312"/>
          <w:sz w:val="32"/>
          <w:szCs w:val="32"/>
          <w:lang w:val="en-US" w:eastAsia="zh-CN"/>
        </w:rPr>
      </w:pPr>
      <w:r>
        <w:rPr>
          <w:rFonts w:hint="eastAsia" w:ascii="CESI楷体-GB13000" w:hAnsi="CESI楷体-GB13000" w:eastAsia="CESI楷体-GB13000" w:cs="CESI楷体-GB13000"/>
          <w:b w:val="0"/>
          <w:bCs w:val="0"/>
          <w:sz w:val="32"/>
          <w:szCs w:val="32"/>
          <w:lang w:val="en-US" w:eastAsia="zh-CN"/>
        </w:rPr>
        <w:t>（一）依法主动公开。</w:t>
      </w:r>
      <w:r>
        <w:rPr>
          <w:rFonts w:hint="eastAsia" w:ascii="仿宋_GB2312" w:eastAsia="仿宋_GB2312"/>
          <w:sz w:val="32"/>
          <w:szCs w:val="32"/>
          <w:lang w:val="en-US" w:eastAsia="zh-CN"/>
        </w:rPr>
        <w:t>依据政府信息公开相关法律法规，</w:t>
      </w:r>
      <w:r>
        <w:rPr>
          <w:rFonts w:hint="eastAsia" w:ascii="仿宋_GB2312"/>
          <w:sz w:val="32"/>
          <w:szCs w:val="32"/>
          <w:lang w:val="en-US" w:eastAsia="zh-CN"/>
        </w:rPr>
        <w:t>加强</w:t>
      </w:r>
      <w:r>
        <w:rPr>
          <w:rFonts w:hint="eastAsia" w:ascii="仿宋_GB2312" w:eastAsia="仿宋_GB2312"/>
          <w:sz w:val="32"/>
          <w:szCs w:val="32"/>
          <w:lang w:val="en-US" w:eastAsia="zh-CN"/>
        </w:rPr>
        <w:t>组织领导，坚持谋划引领，将法定基础信息与重点领域信息作为主动公开的基础，先后印发市直卫生健康系统信息主动公开目录及责任分工、政务公开制度、政务公开考核标准、信息公开指南等文件</w:t>
      </w:r>
      <w:r>
        <w:rPr>
          <w:rFonts w:hint="eastAsia" w:ascii="仿宋_GB2312"/>
          <w:sz w:val="32"/>
          <w:szCs w:val="32"/>
          <w:lang w:val="en-US" w:eastAsia="zh-CN"/>
        </w:rPr>
        <w:t>4个</w:t>
      </w:r>
      <w:r>
        <w:rPr>
          <w:rFonts w:hint="eastAsia" w:ascii="仿宋_GB2312" w:eastAsia="仿宋_GB2312"/>
          <w:sz w:val="32"/>
          <w:szCs w:val="32"/>
          <w:lang w:val="en-US" w:eastAsia="zh-CN"/>
        </w:rPr>
        <w:t>，明确信息公开内容及发布程序。全年主动公开信息486条。</w:t>
      </w:r>
      <w:r>
        <w:rPr>
          <w:rFonts w:hint="eastAsia" w:ascii="仿宋_GB2312" w:eastAsia="仿宋_GB2312"/>
          <w:sz w:val="32"/>
          <w:szCs w:val="32"/>
          <w:lang w:val="en-US" w:eastAsia="zh-CN"/>
        </w:rPr>
        <w:drawing>
          <wp:anchor distT="0" distB="0" distL="114300" distR="114300" simplePos="0" relativeHeight="251662336" behindDoc="1" locked="0" layoutInCell="1" allowOverlap="1">
            <wp:simplePos x="0" y="0"/>
            <wp:positionH relativeFrom="column">
              <wp:posOffset>27940</wp:posOffset>
            </wp:positionH>
            <wp:positionV relativeFrom="paragraph">
              <wp:posOffset>2619375</wp:posOffset>
            </wp:positionV>
            <wp:extent cx="5607685" cy="2198370"/>
            <wp:effectExtent l="0" t="0" r="12065" b="11430"/>
            <wp:wrapTight wrapText="bothSides">
              <wp:wrapPolygon>
                <wp:start x="0" y="0"/>
                <wp:lineTo x="0" y="21338"/>
                <wp:lineTo x="21500" y="21338"/>
                <wp:lineTo x="21500" y="0"/>
                <wp:lineTo x="0" y="0"/>
              </wp:wrapPolygon>
            </wp:wrapTight>
            <wp:docPr id="3" name="图片 3" descr="170539302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705393020051"/>
                    <pic:cNvPicPr>
                      <a:picLocks noChangeAspect="1"/>
                    </pic:cNvPicPr>
                  </pic:nvPicPr>
                  <pic:blipFill>
                    <a:blip r:embed="rId7"/>
                    <a:stretch>
                      <a:fillRect/>
                    </a:stretch>
                  </pic:blipFill>
                  <pic:spPr>
                    <a:xfrm>
                      <a:off x="0" y="0"/>
                      <a:ext cx="5607685" cy="2198370"/>
                    </a:xfrm>
                    <a:prstGeom prst="rect">
                      <a:avLst/>
                    </a:prstGeom>
                  </pic:spPr>
                </pic:pic>
              </a:graphicData>
            </a:graphic>
          </wp:anchor>
        </w:drawing>
      </w:r>
    </w:p>
    <w:p>
      <w:pPr>
        <w:spacing w:line="600" w:lineRule="exact"/>
        <w:ind w:firstLine="640" w:firstLineChars="200"/>
        <w:rPr>
          <w:rFonts w:hint="eastAsia" w:ascii="仿宋_GB2312" w:eastAsia="仿宋_GB2312"/>
          <w:color w:val="auto"/>
          <w:sz w:val="32"/>
          <w:szCs w:val="32"/>
          <w:highlight w:val="none"/>
          <w:lang w:val="en-US" w:eastAsia="zh-CN"/>
        </w:rPr>
      </w:pPr>
      <w:r>
        <w:rPr>
          <w:rFonts w:hint="eastAsia" w:ascii="CESI楷体-GB13000" w:hAnsi="CESI楷体-GB13000" w:eastAsia="CESI楷体-GB13000" w:cs="CESI楷体-GB13000"/>
          <w:b w:val="0"/>
          <w:bCs w:val="0"/>
          <w:sz w:val="32"/>
          <w:szCs w:val="32"/>
          <w:lang w:val="en-US" w:eastAsia="zh-CN"/>
        </w:rPr>
        <w:t>（二）严格依申请公开。</w:t>
      </w:r>
      <w:r>
        <w:rPr>
          <w:rFonts w:hint="eastAsia" w:ascii="仿宋_GB2312" w:eastAsia="仿宋_GB2312"/>
          <w:sz w:val="32"/>
          <w:szCs w:val="32"/>
          <w:highlight w:val="none"/>
          <w:lang w:val="en-US" w:eastAsia="zh-CN"/>
        </w:rPr>
        <w:t>贯彻落实依申请公开工作制度，明确专人负责，严格落实接收、登记、审核、批转、答复、归档等流程，坚持答复时、答复后及时告知申请人</w:t>
      </w:r>
      <w:r>
        <w:rPr>
          <w:rFonts w:hint="eastAsia" w:ascii="仿宋_GB2312" w:eastAsia="仿宋_GB2312"/>
          <w:color w:val="auto"/>
          <w:sz w:val="32"/>
          <w:szCs w:val="32"/>
          <w:highlight w:val="none"/>
          <w:lang w:val="en-US" w:eastAsia="zh-CN"/>
        </w:rPr>
        <w:t>。全年共受理依申请公开11件，其中</w:t>
      </w:r>
      <w:r>
        <w:rPr>
          <w:rFonts w:hint="eastAsia" w:ascii="仿宋_GB2312"/>
          <w:color w:val="auto"/>
          <w:sz w:val="32"/>
          <w:szCs w:val="32"/>
          <w:highlight w:val="none"/>
          <w:lang w:val="en-US" w:eastAsia="zh-CN"/>
        </w:rPr>
        <w:t>9</w:t>
      </w:r>
      <w:r>
        <w:rPr>
          <w:rFonts w:hint="eastAsia" w:ascii="仿宋_GB2312" w:eastAsia="仿宋_GB2312"/>
          <w:color w:val="auto"/>
          <w:sz w:val="32"/>
          <w:szCs w:val="32"/>
          <w:highlight w:val="none"/>
          <w:lang w:val="en-US" w:eastAsia="zh-CN"/>
        </w:rPr>
        <w:t>件为自然人申请</w:t>
      </w:r>
      <w:r>
        <w:rPr>
          <w:rFonts w:hint="eastAsia" w:ascii="仿宋_GB2312"/>
          <w:color w:val="auto"/>
          <w:sz w:val="32"/>
          <w:szCs w:val="32"/>
          <w:highlight w:val="none"/>
          <w:lang w:val="en-US" w:eastAsia="zh-CN"/>
        </w:rPr>
        <w:t>、2</w:t>
      </w:r>
      <w:r>
        <w:rPr>
          <w:rFonts w:hint="eastAsia" w:ascii="仿宋_GB2312" w:eastAsia="仿宋_GB2312"/>
          <w:color w:val="auto"/>
          <w:sz w:val="32"/>
          <w:szCs w:val="32"/>
          <w:highlight w:val="none"/>
          <w:lang w:val="en-US" w:eastAsia="zh-CN"/>
        </w:rPr>
        <w:t>件为法人单位，截至目前已办结9件，结转到2024年2件，答复率、办结率均为100%。</w:t>
      </w:r>
    </w:p>
    <w:p>
      <w:pPr>
        <w:spacing w:line="600" w:lineRule="exact"/>
        <w:ind w:firstLine="640" w:firstLineChars="200"/>
        <w:rPr>
          <w:rFonts w:hint="eastAsia" w:ascii="仿宋_GB2312" w:eastAsia="仿宋_GB2312"/>
          <w:sz w:val="32"/>
          <w:szCs w:val="32"/>
          <w:highlight w:val="none"/>
          <w:lang w:val="en-US" w:eastAsia="zh-CN"/>
        </w:rPr>
      </w:pPr>
      <w:r>
        <w:rPr>
          <w:rFonts w:hint="eastAsia" w:ascii="CESI楷体-GB13000" w:hAnsi="CESI楷体-GB13000" w:eastAsia="CESI楷体-GB13000" w:cs="CESI楷体-GB13000"/>
          <w:b w:val="0"/>
          <w:bCs w:val="0"/>
          <w:sz w:val="32"/>
          <w:szCs w:val="32"/>
          <w:lang w:val="en-US" w:eastAsia="zh-CN"/>
        </w:rPr>
        <w:t>（三）强化政府信息管理。</w:t>
      </w:r>
      <w:r>
        <w:rPr>
          <w:rFonts w:hint="eastAsia" w:ascii="仿宋_GB2312" w:eastAsia="仿宋_GB2312"/>
          <w:sz w:val="32"/>
          <w:szCs w:val="32"/>
          <w:highlight w:val="none"/>
          <w:lang w:val="en-US" w:eastAsia="zh-CN"/>
        </w:rPr>
        <w:t>将信息安全作为底线，按照“涉密信息不上网，上网信息不涉密”原则，严格落实政务公开保密审查和安全审查制度，</w:t>
      </w:r>
      <w:r>
        <w:rPr>
          <w:rFonts w:hint="eastAsia" w:ascii="仿宋_GB2312"/>
          <w:sz w:val="32"/>
          <w:szCs w:val="32"/>
          <w:highlight w:val="none"/>
          <w:lang w:val="en-US" w:eastAsia="zh-CN"/>
        </w:rPr>
        <w:t>执行签字审批发布制度；</w:t>
      </w:r>
      <w:r>
        <w:rPr>
          <w:rFonts w:hint="eastAsia" w:ascii="仿宋_GB2312" w:eastAsia="仿宋_GB2312"/>
          <w:sz w:val="32"/>
          <w:szCs w:val="32"/>
          <w:highlight w:val="none"/>
          <w:lang w:val="en-US" w:eastAsia="zh-CN"/>
        </w:rPr>
        <w:t>加强公开后的信息管理，定期清理失效信息，防范泄密风险。2023年</w:t>
      </w:r>
      <w:r>
        <w:rPr>
          <w:rFonts w:hint="eastAsia" w:ascii="仿宋_GB2312"/>
          <w:sz w:val="32"/>
          <w:szCs w:val="32"/>
          <w:highlight w:val="none"/>
          <w:lang w:val="en-US" w:eastAsia="zh-CN"/>
        </w:rPr>
        <w:t>，</w:t>
      </w:r>
      <w:r>
        <w:rPr>
          <w:rFonts w:hint="eastAsia" w:ascii="仿宋_GB2312" w:eastAsia="仿宋_GB2312"/>
          <w:sz w:val="32"/>
          <w:szCs w:val="32"/>
          <w:highlight w:val="none"/>
          <w:lang w:val="en-US" w:eastAsia="zh-CN"/>
        </w:rPr>
        <w:t>对历年制发的规范性文件进行了清理，决定继续保留规范性文件2件，失效或废止规范性文件0件。</w:t>
      </w:r>
    </w:p>
    <w:p>
      <w:pPr>
        <w:spacing w:line="600" w:lineRule="exact"/>
        <w:ind w:firstLine="640" w:firstLineChars="200"/>
        <w:rPr>
          <w:rFonts w:hint="eastAsia" w:ascii="仿宋_GB2312" w:eastAsia="仿宋_GB2312"/>
          <w:sz w:val="32"/>
          <w:szCs w:val="32"/>
          <w:highlight w:val="none"/>
          <w:lang w:val="en-US" w:eastAsia="zh-CN"/>
        </w:rPr>
      </w:pPr>
      <w:r>
        <w:rPr>
          <w:rFonts w:hint="eastAsia" w:ascii="CESI楷体-GB13000" w:hAnsi="CESI楷体-GB13000" w:eastAsia="CESI楷体-GB13000" w:cs="CESI楷体-GB13000"/>
          <w:b w:val="0"/>
          <w:bCs w:val="0"/>
          <w:sz w:val="32"/>
          <w:szCs w:val="32"/>
          <w:lang w:val="en-US" w:eastAsia="zh-CN"/>
        </w:rPr>
        <w:t>（四）建强政府公开平台。</w:t>
      </w:r>
      <w:r>
        <w:rPr>
          <w:rFonts w:hint="eastAsia" w:ascii="仿宋_GB2312" w:eastAsia="仿宋_GB2312"/>
          <w:sz w:val="32"/>
          <w:szCs w:val="32"/>
          <w:highlight w:val="none"/>
          <w:lang w:val="en-US" w:eastAsia="zh-CN"/>
        </w:rPr>
        <w:t>现有聊城市卫生健康委政府部门网站、微信公众号</w:t>
      </w:r>
      <w:r>
        <w:rPr>
          <w:rFonts w:hint="eastAsia" w:ascii="仿宋_GB2312"/>
          <w:sz w:val="32"/>
          <w:szCs w:val="32"/>
          <w:highlight w:val="none"/>
          <w:lang w:val="en-US" w:eastAsia="zh-CN"/>
        </w:rPr>
        <w:t>、</w:t>
      </w:r>
      <w:r>
        <w:rPr>
          <w:rFonts w:hint="eastAsia" w:ascii="仿宋_GB2312" w:eastAsia="仿宋_GB2312"/>
          <w:sz w:val="32"/>
          <w:szCs w:val="32"/>
          <w:highlight w:val="none"/>
          <w:lang w:val="en-US" w:eastAsia="zh-CN"/>
        </w:rPr>
        <w:t>微博等政务公开渠道</w:t>
      </w:r>
      <w:r>
        <w:rPr>
          <w:rFonts w:hint="eastAsia" w:ascii="仿宋_GB2312"/>
          <w:sz w:val="32"/>
          <w:szCs w:val="32"/>
          <w:highlight w:val="none"/>
          <w:lang w:val="en-US" w:eastAsia="zh-CN"/>
        </w:rPr>
        <w:t>，</w:t>
      </w:r>
      <w:r>
        <w:rPr>
          <w:rFonts w:hint="eastAsia" w:ascii="仿宋_GB2312" w:eastAsia="仿宋_GB2312"/>
          <w:sz w:val="32"/>
          <w:szCs w:val="32"/>
          <w:highlight w:val="none"/>
          <w:lang w:val="en-US" w:eastAsia="zh-CN"/>
        </w:rPr>
        <w:t>均</w:t>
      </w:r>
      <w:r>
        <w:rPr>
          <w:rFonts w:hint="eastAsia" w:ascii="仿宋_GB2312"/>
          <w:sz w:val="32"/>
          <w:szCs w:val="32"/>
          <w:highlight w:val="none"/>
          <w:lang w:val="en-US" w:eastAsia="zh-CN"/>
        </w:rPr>
        <w:t>安排</w:t>
      </w:r>
      <w:r>
        <w:rPr>
          <w:rFonts w:hint="eastAsia" w:ascii="仿宋_GB2312" w:eastAsia="仿宋_GB2312"/>
          <w:sz w:val="32"/>
          <w:szCs w:val="32"/>
          <w:highlight w:val="none"/>
          <w:lang w:val="en-US" w:eastAsia="zh-CN"/>
        </w:rPr>
        <w:t>专人负责，持续做好日常内容更新维护和栏目改版、设置等工作。2023年</w:t>
      </w:r>
      <w:r>
        <w:rPr>
          <w:rFonts w:hint="eastAsia" w:ascii="仿宋_GB2312"/>
          <w:sz w:val="32"/>
          <w:szCs w:val="32"/>
          <w:highlight w:val="none"/>
          <w:lang w:val="en-US" w:eastAsia="zh-CN"/>
        </w:rPr>
        <w:t>，</w:t>
      </w:r>
      <w:r>
        <w:rPr>
          <w:rFonts w:hint="eastAsia" w:ascii="仿宋_GB2312" w:eastAsia="仿宋_GB2312"/>
          <w:sz w:val="32"/>
          <w:szCs w:val="32"/>
          <w:highlight w:val="none"/>
          <w:lang w:val="en-US" w:eastAsia="zh-CN"/>
        </w:rPr>
        <w:t>部门网站发布信息1316条，总访问量436540次；</w:t>
      </w:r>
      <w:r>
        <w:rPr>
          <w:rFonts w:hint="eastAsia" w:ascii="仿宋_GB2312"/>
          <w:sz w:val="32"/>
          <w:szCs w:val="32"/>
          <w:highlight w:val="none"/>
          <w:lang w:val="en-US" w:eastAsia="zh-CN"/>
        </w:rPr>
        <w:t>官方</w:t>
      </w:r>
      <w:r>
        <w:rPr>
          <w:rFonts w:hint="eastAsia" w:ascii="仿宋_GB2312" w:eastAsia="仿宋_GB2312"/>
          <w:sz w:val="32"/>
          <w:szCs w:val="32"/>
          <w:highlight w:val="none"/>
          <w:lang w:val="en-US" w:eastAsia="zh-CN"/>
        </w:rPr>
        <w:t>微博发布信息491条，</w:t>
      </w:r>
      <w:r>
        <w:rPr>
          <w:rFonts w:hint="eastAsia" w:ascii="仿宋_GB2312"/>
          <w:sz w:val="32"/>
          <w:szCs w:val="32"/>
          <w:highlight w:val="none"/>
          <w:lang w:val="en-US" w:eastAsia="zh-CN"/>
        </w:rPr>
        <w:t>官方</w:t>
      </w:r>
      <w:r>
        <w:rPr>
          <w:rFonts w:hint="eastAsia" w:ascii="仿宋_GB2312" w:eastAsia="仿宋_GB2312"/>
          <w:sz w:val="32"/>
          <w:szCs w:val="32"/>
          <w:highlight w:val="none"/>
          <w:lang w:val="en-US" w:eastAsia="zh-CN"/>
        </w:rPr>
        <w:t>公众号发布信息2635条，订阅数600000。</w:t>
      </w:r>
    </w:p>
    <w:p>
      <w:pPr>
        <w:spacing w:line="600" w:lineRule="exact"/>
        <w:ind w:firstLine="640" w:firstLineChars="200"/>
        <w:rPr>
          <w:rFonts w:hint="default" w:ascii="仿宋_GB2312" w:eastAsia="仿宋_GB2312"/>
          <w:sz w:val="32"/>
          <w:szCs w:val="32"/>
          <w:highlight w:val="none"/>
          <w:lang w:val="en-US" w:eastAsia="zh-CN"/>
        </w:rPr>
      </w:pPr>
      <w:r>
        <w:rPr>
          <w:rFonts w:hint="eastAsia" w:ascii="CESI楷体-GB13000" w:hAnsi="CESI楷体-GB13000" w:eastAsia="CESI楷体-GB13000" w:cs="CESI楷体-GB13000"/>
          <w:b w:val="0"/>
          <w:bCs w:val="0"/>
          <w:sz w:val="32"/>
          <w:szCs w:val="32"/>
          <w:lang w:val="en-US" w:eastAsia="zh-CN"/>
        </w:rPr>
        <w:t>（五）做实监督保障。</w:t>
      </w:r>
      <w:r>
        <w:rPr>
          <w:rFonts w:hint="eastAsia" w:ascii="仿宋_GB2312"/>
          <w:sz w:val="32"/>
          <w:szCs w:val="32"/>
          <w:highlight w:val="none"/>
          <w:lang w:val="en-US" w:eastAsia="zh-CN"/>
        </w:rPr>
        <w:t>及时调整</w:t>
      </w:r>
      <w:r>
        <w:rPr>
          <w:rFonts w:hint="eastAsia" w:ascii="仿宋_GB2312" w:eastAsia="仿宋_GB2312"/>
          <w:sz w:val="32"/>
          <w:szCs w:val="32"/>
          <w:highlight w:val="none"/>
          <w:lang w:val="en-US" w:eastAsia="zh-CN"/>
        </w:rPr>
        <w:t>政务公开领导小组，主要负责同志任组长，分管领导任副组长，各科室负责人为组员，</w:t>
      </w:r>
      <w:r>
        <w:rPr>
          <w:rFonts w:hint="eastAsia" w:ascii="仿宋_GB2312"/>
          <w:sz w:val="32"/>
          <w:szCs w:val="32"/>
          <w:highlight w:val="none"/>
          <w:lang w:val="en-US" w:eastAsia="zh-CN"/>
        </w:rPr>
        <w:t>细化明确责任分工</w:t>
      </w:r>
      <w:r>
        <w:rPr>
          <w:rFonts w:hint="eastAsia" w:ascii="仿宋_GB2312" w:eastAsia="仿宋_GB2312"/>
          <w:sz w:val="32"/>
          <w:szCs w:val="32"/>
          <w:highlight w:val="none"/>
          <w:lang w:val="en-US" w:eastAsia="zh-CN"/>
        </w:rPr>
        <w:t>。</w:t>
      </w:r>
      <w:r>
        <w:rPr>
          <w:rFonts w:hint="eastAsia" w:ascii="仿宋_GB2312"/>
          <w:sz w:val="32"/>
          <w:szCs w:val="32"/>
          <w:highlight w:val="none"/>
          <w:lang w:val="en-US" w:eastAsia="zh-CN"/>
        </w:rPr>
        <w:t>加强</w:t>
      </w:r>
      <w:r>
        <w:rPr>
          <w:rFonts w:hint="eastAsia" w:ascii="仿宋_GB2312" w:eastAsia="仿宋_GB2312"/>
          <w:sz w:val="32"/>
          <w:szCs w:val="32"/>
          <w:highlight w:val="none"/>
          <w:lang w:val="en-US" w:eastAsia="zh-CN"/>
        </w:rPr>
        <w:t>委属事业单位</w:t>
      </w:r>
      <w:r>
        <w:rPr>
          <w:rFonts w:hint="eastAsia" w:ascii="仿宋_GB2312"/>
          <w:sz w:val="32"/>
          <w:szCs w:val="32"/>
          <w:highlight w:val="none"/>
          <w:lang w:val="en-US" w:eastAsia="zh-CN"/>
        </w:rPr>
        <w:t>政务公开落实指导监督</w:t>
      </w:r>
      <w:r>
        <w:rPr>
          <w:rFonts w:hint="eastAsia" w:ascii="仿宋_GB2312" w:eastAsia="仿宋_GB2312"/>
          <w:sz w:val="32"/>
          <w:szCs w:val="32"/>
          <w:highlight w:val="none"/>
          <w:lang w:val="en-US" w:eastAsia="zh-CN"/>
        </w:rPr>
        <w:t>，将</w:t>
      </w:r>
      <w:r>
        <w:rPr>
          <w:rFonts w:hint="eastAsia" w:ascii="仿宋_GB2312"/>
          <w:sz w:val="32"/>
          <w:szCs w:val="32"/>
          <w:highlight w:val="none"/>
          <w:lang w:val="en-US" w:eastAsia="zh-CN"/>
        </w:rPr>
        <w:t>落实情况</w:t>
      </w:r>
      <w:r>
        <w:rPr>
          <w:rFonts w:hint="eastAsia" w:ascii="仿宋_GB2312" w:eastAsia="仿宋_GB2312"/>
          <w:sz w:val="32"/>
          <w:szCs w:val="32"/>
          <w:highlight w:val="none"/>
          <w:lang w:val="en-US" w:eastAsia="zh-CN"/>
        </w:rPr>
        <w:t>纳入绩效考核和领导班子综合考核，实行月调度、季通报、年考核制度。</w:t>
      </w:r>
    </w:p>
    <w:p>
      <w:pPr>
        <w:spacing w:line="600" w:lineRule="exact"/>
        <w:ind w:firstLine="640" w:firstLineChars="200"/>
        <w:rPr>
          <w:rFonts w:hint="eastAsia" w:ascii="CESI黑体-GB13000" w:hAnsi="CESI黑体-GB13000" w:eastAsia="CESI黑体-GB13000" w:cs="CESI黑体-GB13000"/>
          <w:b w:val="0"/>
          <w:bCs w:val="0"/>
          <w:sz w:val="32"/>
          <w:szCs w:val="32"/>
        </w:rPr>
      </w:pPr>
      <w:r>
        <w:rPr>
          <w:rFonts w:hint="eastAsia" w:ascii="CESI黑体-GB13000" w:hAnsi="CESI黑体-GB13000" w:eastAsia="CESI黑体-GB13000" w:cs="CESI黑体-GB13000"/>
          <w:b w:val="0"/>
          <w:bCs w:val="0"/>
          <w:sz w:val="32"/>
          <w:szCs w:val="32"/>
          <w:lang w:eastAsia="zh-CN"/>
        </w:rPr>
        <w:t>二、</w:t>
      </w:r>
      <w:r>
        <w:rPr>
          <w:rFonts w:hint="eastAsia" w:ascii="CESI黑体-GB13000" w:hAnsi="CESI黑体-GB13000" w:eastAsia="CESI黑体-GB13000" w:cs="CESI黑体-GB13000"/>
          <w:b w:val="0"/>
          <w:bCs w:val="0"/>
          <w:sz w:val="32"/>
          <w:szCs w:val="32"/>
        </w:rPr>
        <w:t>主动公开政府信息情况</w:t>
      </w:r>
    </w:p>
    <w:tbl>
      <w:tblPr>
        <w:tblStyle w:val="8"/>
        <w:tblW w:w="9060" w:type="dxa"/>
        <w:tblInd w:w="0" w:type="dxa"/>
        <w:tblLayout w:type="fixed"/>
        <w:tblCellMar>
          <w:top w:w="0" w:type="dxa"/>
          <w:left w:w="108" w:type="dxa"/>
          <w:bottom w:w="0" w:type="dxa"/>
          <w:right w:w="108" w:type="dxa"/>
        </w:tblCellMar>
      </w:tblPr>
      <w:tblGrid>
        <w:gridCol w:w="2265"/>
        <w:gridCol w:w="2265"/>
        <w:gridCol w:w="2265"/>
        <w:gridCol w:w="2265"/>
      </w:tblGrid>
      <w:tr>
        <w:tblPrEx>
          <w:tblLayout w:type="fixed"/>
          <w:tblCellMar>
            <w:top w:w="0" w:type="dxa"/>
            <w:left w:w="108" w:type="dxa"/>
            <w:bottom w:w="0" w:type="dxa"/>
            <w:right w:w="108" w:type="dxa"/>
          </w:tblCellMar>
        </w:tblPrEx>
        <w:trPr>
          <w:trHeight w:val="567" w:hRule="atLeast"/>
        </w:trPr>
        <w:tc>
          <w:tcPr>
            <w:tcW w:w="906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第二十条第（一）项</w:t>
            </w:r>
          </w:p>
        </w:tc>
      </w:tr>
      <w:tr>
        <w:tblPrEx>
          <w:tblLayout w:type="fixed"/>
          <w:tblCellMar>
            <w:top w:w="0" w:type="dxa"/>
            <w:left w:w="108" w:type="dxa"/>
            <w:bottom w:w="0" w:type="dxa"/>
            <w:right w:w="108" w:type="dxa"/>
          </w:tblCellMar>
        </w:tblPrEx>
        <w:trPr>
          <w:trHeight w:val="567"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本年制发件数</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本年废止件数</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现行有效件数</w:t>
            </w:r>
          </w:p>
        </w:tc>
      </w:tr>
      <w:tr>
        <w:tblPrEx>
          <w:tblLayout w:type="fixed"/>
          <w:tblCellMar>
            <w:top w:w="0" w:type="dxa"/>
            <w:left w:w="108" w:type="dxa"/>
            <w:bottom w:w="0" w:type="dxa"/>
            <w:right w:w="108" w:type="dxa"/>
          </w:tblCellMar>
        </w:tblPrEx>
        <w:trPr>
          <w:trHeight w:val="591"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规章</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cs="宋体"/>
                <w:color w:val="000000"/>
                <w:kern w:val="0"/>
                <w:szCs w:val="21"/>
                <w:lang w:val="en-US" w:eastAsia="zh-CN"/>
              </w:rPr>
              <w:t>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cs="宋体"/>
                <w:color w:val="000000"/>
                <w:kern w:val="0"/>
                <w:szCs w:val="21"/>
                <w:lang w:val="en-US" w:eastAsia="zh-CN"/>
              </w:rPr>
              <w:t>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行政规范性文件</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highlight w:val="none"/>
                <w:lang w:val="en-US" w:eastAsia="zh-CN"/>
              </w:rPr>
            </w:pPr>
            <w:r>
              <w:rPr>
                <w:rFonts w:hint="eastAsia" w:ascii="仿宋_GB2312" w:hAnsi="宋体" w:eastAsia="仿宋_GB2312" w:cs="宋体"/>
                <w:color w:val="000000"/>
                <w:kern w:val="0"/>
                <w:szCs w:val="21"/>
                <w:highlight w:val="none"/>
                <w:lang w:val="en-US" w:eastAsia="zh-CN"/>
              </w:rPr>
              <w:t>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宋体" w:eastAsia="仿宋_GB2312" w:cs="宋体"/>
                <w:color w:val="000000"/>
                <w:kern w:val="0"/>
                <w:szCs w:val="21"/>
                <w:highlight w:val="none"/>
                <w:lang w:val="en-US" w:eastAsia="zh-CN"/>
              </w:rPr>
            </w:pPr>
            <w:r>
              <w:rPr>
                <w:rFonts w:hint="eastAsia" w:ascii="仿宋_GB2312" w:hAnsi="宋体" w:cs="宋体"/>
                <w:color w:val="000000"/>
                <w:kern w:val="0"/>
                <w:szCs w:val="21"/>
                <w:highlight w:val="none"/>
                <w:lang w:val="en-US" w:eastAsia="zh-CN"/>
              </w:rPr>
              <w:t>0</w:t>
            </w:r>
          </w:p>
        </w:tc>
        <w:tc>
          <w:tcPr>
            <w:tcW w:w="2265" w:type="dxa"/>
            <w:tcBorders>
              <w:top w:val="nil"/>
              <w:left w:val="nil"/>
              <w:bottom w:val="single" w:color="auto" w:sz="8" w:space="0"/>
              <w:right w:val="single" w:color="auto" w:sz="8" w:space="0"/>
            </w:tcBorders>
            <w:shd w:val="clear" w:color="auto" w:fill="auto"/>
            <w:vAlign w:val="center"/>
          </w:tcPr>
          <w:p>
            <w:pPr>
              <w:widowControl/>
              <w:jc w:val="center"/>
              <w:rPr>
                <w:rFonts w:hint="eastAsia" w:ascii="仿宋_GB2312" w:hAnsi="Calibri" w:eastAsia="仿宋_GB2312" w:cs="Calibri"/>
                <w:color w:val="000000"/>
                <w:kern w:val="0"/>
                <w:szCs w:val="21"/>
                <w:highlight w:val="none"/>
                <w:lang w:val="en-US" w:eastAsia="zh-CN"/>
              </w:rPr>
            </w:pPr>
            <w:r>
              <w:rPr>
                <w:rFonts w:hint="eastAsia" w:ascii="仿宋_GB2312" w:hAnsi="Calibri" w:cs="Calibri"/>
                <w:color w:val="000000"/>
                <w:kern w:val="0"/>
                <w:szCs w:val="21"/>
                <w:highlight w:val="none"/>
                <w:lang w:val="en-US" w:eastAsia="zh-CN"/>
              </w:rPr>
              <w:t>2</w:t>
            </w:r>
          </w:p>
        </w:tc>
      </w:tr>
      <w:tr>
        <w:tblPrEx>
          <w:tblLayout w:type="fixed"/>
          <w:tblCellMar>
            <w:top w:w="0" w:type="dxa"/>
            <w:left w:w="108" w:type="dxa"/>
            <w:bottom w:w="0" w:type="dxa"/>
            <w:right w:w="108" w:type="dxa"/>
          </w:tblCellMar>
        </w:tblPrEx>
        <w:trPr>
          <w:trHeight w:val="567" w:hRule="atLeast"/>
        </w:trPr>
        <w:tc>
          <w:tcPr>
            <w:tcW w:w="906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第二十条第（五）项</w:t>
            </w:r>
          </w:p>
        </w:tc>
      </w:tr>
      <w:tr>
        <w:tblPrEx>
          <w:tblLayout w:type="fixed"/>
          <w:tblCellMar>
            <w:top w:w="0" w:type="dxa"/>
            <w:left w:w="108" w:type="dxa"/>
            <w:bottom w:w="0" w:type="dxa"/>
            <w:right w:w="108" w:type="dxa"/>
          </w:tblCellMar>
        </w:tblPrEx>
        <w:trPr>
          <w:trHeight w:val="567"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9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567"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行政许可</w:t>
            </w:r>
          </w:p>
        </w:tc>
        <w:tc>
          <w:tcPr>
            <w:tcW w:w="679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Calibri" w:eastAsia="仿宋_GB2312" w:cs="Calibri"/>
                <w:color w:val="000000"/>
                <w:kern w:val="0"/>
                <w:szCs w:val="21"/>
                <w:lang w:val="en-US" w:eastAsia="zh-CN"/>
              </w:rPr>
            </w:pPr>
            <w:r>
              <w:rPr>
                <w:rFonts w:hint="eastAsia" w:ascii="仿宋_GB2312" w:hAnsi="Calibri" w:eastAsia="仿宋_GB2312" w:cs="Calibri"/>
                <w:color w:val="000000"/>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906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第二十条第（六）项</w:t>
            </w:r>
          </w:p>
        </w:tc>
      </w:tr>
      <w:tr>
        <w:tblPrEx>
          <w:tblLayout w:type="fixed"/>
          <w:tblCellMar>
            <w:top w:w="0" w:type="dxa"/>
            <w:left w:w="108" w:type="dxa"/>
            <w:bottom w:w="0" w:type="dxa"/>
            <w:right w:w="108" w:type="dxa"/>
          </w:tblCellMar>
        </w:tblPrEx>
        <w:trPr>
          <w:trHeight w:val="567"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9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本年处理决定数量</w:t>
            </w:r>
          </w:p>
        </w:tc>
      </w:tr>
      <w:tr>
        <w:tblPrEx>
          <w:tblLayout w:type="fixed"/>
          <w:tblCellMar>
            <w:top w:w="0" w:type="dxa"/>
            <w:left w:w="108" w:type="dxa"/>
            <w:bottom w:w="0" w:type="dxa"/>
            <w:right w:w="108" w:type="dxa"/>
          </w:tblCellMar>
        </w:tblPrEx>
        <w:trPr>
          <w:trHeight w:val="474"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行政处罚</w:t>
            </w:r>
          </w:p>
        </w:tc>
        <w:tc>
          <w:tcPr>
            <w:tcW w:w="679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default" w:ascii="仿宋_GB2312" w:hAnsi="宋体" w:eastAsia="仿宋_GB2312" w:cs="宋体"/>
                <w:color w:val="000000"/>
                <w:kern w:val="0"/>
                <w:szCs w:val="21"/>
                <w:lang w:val="en-US" w:eastAsia="zh-CN"/>
              </w:rPr>
            </w:pPr>
            <w:r>
              <w:rPr>
                <w:rFonts w:hint="eastAsia" w:ascii="Times New Roman" w:hAnsi="Times New Roman"/>
                <w:color w:val="auto"/>
                <w:kern w:val="0"/>
                <w:sz w:val="20"/>
                <w:szCs w:val="20"/>
                <w:lang w:val="en-US" w:eastAsia="zh-CN" w:bidi="ar"/>
              </w:rPr>
              <w:t>29</w:t>
            </w:r>
          </w:p>
        </w:tc>
      </w:tr>
      <w:tr>
        <w:tblPrEx>
          <w:tblLayout w:type="fixed"/>
          <w:tblCellMar>
            <w:top w:w="0" w:type="dxa"/>
            <w:left w:w="108" w:type="dxa"/>
            <w:bottom w:w="0" w:type="dxa"/>
            <w:right w:w="108" w:type="dxa"/>
          </w:tblCellMar>
        </w:tblPrEx>
        <w:trPr>
          <w:trHeight w:val="567"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行政强制</w:t>
            </w:r>
          </w:p>
        </w:tc>
        <w:tc>
          <w:tcPr>
            <w:tcW w:w="679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宋体" w:eastAsia="仿宋_GB2312" w:cs="宋体"/>
                <w:color w:val="000000"/>
                <w:kern w:val="0"/>
                <w:szCs w:val="21"/>
                <w:lang w:val="en-US" w:eastAsia="zh-CN"/>
              </w:rPr>
            </w:pPr>
            <w:r>
              <w:rPr>
                <w:rFonts w:hint="eastAsia" w:ascii="仿宋_GB2312" w:hAnsi="宋体" w:eastAsia="仿宋_GB2312" w:cs="宋体"/>
                <w:color w:val="000000"/>
                <w:kern w:val="0"/>
                <w:szCs w:val="21"/>
                <w:lang w:val="en-US" w:eastAsia="zh-CN"/>
              </w:rPr>
              <w:t>0</w:t>
            </w:r>
          </w:p>
        </w:tc>
      </w:tr>
      <w:tr>
        <w:tblPrEx>
          <w:tblLayout w:type="fixed"/>
          <w:tblCellMar>
            <w:top w:w="0" w:type="dxa"/>
            <w:left w:w="108" w:type="dxa"/>
            <w:bottom w:w="0" w:type="dxa"/>
            <w:right w:w="108" w:type="dxa"/>
          </w:tblCellMar>
        </w:tblPrEx>
        <w:trPr>
          <w:trHeight w:val="567" w:hRule="atLeast"/>
        </w:trPr>
        <w:tc>
          <w:tcPr>
            <w:tcW w:w="9060" w:type="dxa"/>
            <w:gridSpan w:val="4"/>
            <w:tcBorders>
              <w:top w:val="single" w:color="auto" w:sz="8" w:space="0"/>
              <w:left w:val="single" w:color="auto" w:sz="8" w:space="0"/>
              <w:bottom w:val="single" w:color="auto" w:sz="8" w:space="0"/>
              <w:right w:val="single" w:color="000000" w:sz="8" w:space="0"/>
            </w:tcBorders>
            <w:shd w:val="clear" w:color="000000" w:fill="C6D9F1"/>
            <w:vAlign w:val="center"/>
          </w:tcPr>
          <w:p>
            <w:pPr>
              <w:widowControl/>
              <w:jc w:val="center"/>
              <w:rPr>
                <w:rFonts w:ascii="黑体" w:hAnsi="黑体" w:eastAsia="黑体" w:cs="宋体"/>
                <w:color w:val="000000"/>
                <w:kern w:val="0"/>
                <w:szCs w:val="21"/>
              </w:rPr>
            </w:pPr>
            <w:r>
              <w:rPr>
                <w:rFonts w:hint="eastAsia" w:ascii="黑体" w:hAnsi="黑体" w:eastAsia="黑体" w:cs="宋体"/>
                <w:color w:val="000000"/>
                <w:kern w:val="0"/>
                <w:szCs w:val="21"/>
              </w:rPr>
              <w:t>第二十条第（八）项</w:t>
            </w:r>
          </w:p>
        </w:tc>
      </w:tr>
      <w:tr>
        <w:tblPrEx>
          <w:tblLayout w:type="fixed"/>
          <w:tblCellMar>
            <w:top w:w="0" w:type="dxa"/>
            <w:left w:w="108" w:type="dxa"/>
            <w:bottom w:w="0" w:type="dxa"/>
            <w:right w:w="108" w:type="dxa"/>
          </w:tblCellMar>
        </w:tblPrEx>
        <w:trPr>
          <w:trHeight w:val="567"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信息内容</w:t>
            </w:r>
          </w:p>
        </w:tc>
        <w:tc>
          <w:tcPr>
            <w:tcW w:w="679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000000"/>
                <w:kern w:val="0"/>
                <w:szCs w:val="21"/>
              </w:rPr>
              <w:t>本年收费金额（单位：万元）</w:t>
            </w:r>
          </w:p>
        </w:tc>
      </w:tr>
      <w:tr>
        <w:tblPrEx>
          <w:tblLayout w:type="fixed"/>
          <w:tblCellMar>
            <w:top w:w="0" w:type="dxa"/>
            <w:left w:w="108" w:type="dxa"/>
            <w:bottom w:w="0" w:type="dxa"/>
            <w:right w:w="108" w:type="dxa"/>
          </w:tblCellMar>
        </w:tblPrEx>
        <w:trPr>
          <w:trHeight w:val="567" w:hRule="atLeast"/>
        </w:trPr>
        <w:tc>
          <w:tcPr>
            <w:tcW w:w="2265" w:type="dxa"/>
            <w:tcBorders>
              <w:top w:val="nil"/>
              <w:left w:val="single" w:color="auto" w:sz="8" w:space="0"/>
              <w:bottom w:val="single" w:color="auto" w:sz="8" w:space="0"/>
              <w:right w:val="single" w:color="auto" w:sz="8" w:space="0"/>
            </w:tcBorders>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行政事业性收费</w:t>
            </w:r>
          </w:p>
        </w:tc>
        <w:tc>
          <w:tcPr>
            <w:tcW w:w="6795" w:type="dxa"/>
            <w:gridSpan w:val="3"/>
            <w:tcBorders>
              <w:top w:val="single" w:color="auto" w:sz="8" w:space="0"/>
              <w:left w:val="nil"/>
              <w:bottom w:val="single" w:color="auto" w:sz="8" w:space="0"/>
              <w:right w:val="single" w:color="000000" w:sz="8" w:space="0"/>
            </w:tcBorders>
            <w:shd w:val="clear" w:color="auto" w:fill="auto"/>
            <w:vAlign w:val="center"/>
          </w:tcPr>
          <w:p>
            <w:pPr>
              <w:widowControl/>
              <w:jc w:val="center"/>
              <w:rPr>
                <w:rFonts w:hint="eastAsia" w:ascii="仿宋_GB2312" w:hAnsi="宋体" w:eastAsia="仿宋_GB2312" w:cs="宋体"/>
                <w:color w:val="000000"/>
                <w:kern w:val="0"/>
                <w:szCs w:val="21"/>
              </w:rPr>
            </w:pPr>
            <w:r>
              <w:rPr>
                <w:rFonts w:hint="eastAsia" w:ascii="仿宋_GB2312" w:hAnsi="宋体" w:eastAsia="仿宋_GB2312" w:cs="宋体"/>
                <w:color w:val="auto"/>
                <w:kern w:val="0"/>
                <w:szCs w:val="21"/>
                <w:lang w:val="en-US" w:eastAsia="zh-CN"/>
              </w:rPr>
              <w:t>62.67886</w:t>
            </w:r>
          </w:p>
        </w:tc>
      </w:tr>
    </w:tbl>
    <w:p>
      <w:pPr>
        <w:spacing w:line="600" w:lineRule="exact"/>
        <w:ind w:firstLine="640" w:firstLineChars="200"/>
        <w:rPr>
          <w:rFonts w:hint="eastAsia" w:ascii="CESI黑体-GB13000" w:hAnsi="CESI黑体-GB13000" w:eastAsia="CESI黑体-GB13000" w:cs="CESI黑体-GB13000"/>
          <w:b w:val="0"/>
          <w:bCs w:val="0"/>
          <w:sz w:val="32"/>
          <w:szCs w:val="32"/>
        </w:rPr>
      </w:pPr>
      <w:r>
        <w:rPr>
          <w:rFonts w:hint="eastAsia" w:ascii="CESI黑体-GB13000" w:hAnsi="CESI黑体-GB13000" w:eastAsia="CESI黑体-GB13000" w:cs="CESI黑体-GB13000"/>
          <w:b w:val="0"/>
          <w:bCs w:val="0"/>
          <w:sz w:val="32"/>
          <w:szCs w:val="32"/>
          <w:lang w:eastAsia="zh-CN"/>
        </w:rPr>
        <w:t>三、</w:t>
      </w:r>
      <w:r>
        <w:rPr>
          <w:rFonts w:hint="eastAsia" w:ascii="CESI黑体-GB13000" w:hAnsi="CESI黑体-GB13000" w:eastAsia="CESI黑体-GB13000" w:cs="CESI黑体-GB13000"/>
          <w:b w:val="0"/>
          <w:bCs w:val="0"/>
          <w:sz w:val="32"/>
          <w:szCs w:val="32"/>
        </w:rPr>
        <w:t>收到和处理政府信息公开申请情况</w:t>
      </w:r>
    </w:p>
    <w:tbl>
      <w:tblPr>
        <w:tblStyle w:val="8"/>
        <w:tblW w:w="9913"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416"/>
        <w:gridCol w:w="1701"/>
        <w:gridCol w:w="2976"/>
        <w:gridCol w:w="829"/>
        <w:gridCol w:w="567"/>
        <w:gridCol w:w="567"/>
        <w:gridCol w:w="731"/>
        <w:gridCol w:w="708"/>
        <w:gridCol w:w="567"/>
        <w:gridCol w:w="85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jc w:val="center"/>
        </w:trPr>
        <w:tc>
          <w:tcPr>
            <w:tcW w:w="5093" w:type="dxa"/>
            <w:gridSpan w:val="3"/>
            <w:vMerge w:val="restart"/>
            <w:shd w:val="clear" w:color="auto" w:fill="auto"/>
            <w:tcMar>
              <w:left w:w="108" w:type="dxa"/>
              <w:right w:w="108" w:type="dxa"/>
            </w:tcMar>
            <w:vAlign w:val="center"/>
          </w:tcPr>
          <w:p>
            <w:pPr>
              <w:widowControl/>
              <w:jc w:val="center"/>
              <w:rPr>
                <w:rFonts w:ascii="楷体_GB2312" w:hAnsi="黑体" w:eastAsia="楷体_GB2312"/>
                <w:kern w:val="0"/>
                <w:szCs w:val="21"/>
              </w:rPr>
            </w:pPr>
            <w:r>
              <w:rPr>
                <w:rFonts w:hint="eastAsia" w:ascii="楷体_GB2312" w:hAnsi="黑体" w:eastAsia="楷体_GB2312"/>
                <w:kern w:val="0"/>
                <w:szCs w:val="21"/>
              </w:rPr>
              <w:t>（本列数据的勾稽关系为：第一项加第二项之和，</w:t>
            </w:r>
          </w:p>
          <w:p>
            <w:pPr>
              <w:widowControl/>
              <w:jc w:val="center"/>
              <w:rPr>
                <w:rFonts w:ascii="仿宋_GB2312" w:hAnsi="Times New Roman" w:eastAsia="仿宋_GB2312"/>
                <w:szCs w:val="21"/>
              </w:rPr>
            </w:pPr>
            <w:r>
              <w:rPr>
                <w:rFonts w:hint="eastAsia" w:ascii="楷体_GB2312" w:hAnsi="黑体" w:eastAsia="楷体_GB2312"/>
                <w:kern w:val="0"/>
                <w:szCs w:val="21"/>
              </w:rPr>
              <w:t>等于第三项加第四项之和）</w:t>
            </w:r>
          </w:p>
        </w:tc>
        <w:tc>
          <w:tcPr>
            <w:tcW w:w="4820" w:type="dxa"/>
            <w:gridSpan w:val="7"/>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申请人情况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25"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自然人</w:t>
            </w:r>
          </w:p>
        </w:tc>
        <w:tc>
          <w:tcPr>
            <w:tcW w:w="3140" w:type="dxa"/>
            <w:gridSpan w:val="5"/>
            <w:shd w:val="clear" w:color="auto" w:fill="auto"/>
            <w:tcMar>
              <w:left w:w="108" w:type="dxa"/>
              <w:right w:w="108" w:type="dxa"/>
            </w:tcMar>
            <w:vAlign w:val="center"/>
          </w:tcPr>
          <w:p>
            <w:pPr>
              <w:widowControl/>
              <w:spacing w:line="320" w:lineRule="exact"/>
              <w:jc w:val="center"/>
              <w:rPr>
                <w:rFonts w:ascii="黑体" w:hAnsi="黑体" w:eastAsia="黑体"/>
                <w:szCs w:val="21"/>
              </w:rPr>
            </w:pPr>
            <w:r>
              <w:rPr>
                <w:rFonts w:hint="eastAsia" w:ascii="黑体" w:hAnsi="黑体" w:eastAsia="黑体"/>
                <w:kern w:val="0"/>
                <w:szCs w:val="21"/>
              </w:rPr>
              <w:t>法人或其他组织</w:t>
            </w:r>
          </w:p>
        </w:tc>
        <w:tc>
          <w:tcPr>
            <w:tcW w:w="851" w:type="dxa"/>
            <w:vMerge w:val="restart"/>
            <w:shd w:val="clear" w:color="auto" w:fill="auto"/>
            <w:tcMar>
              <w:left w:w="108" w:type="dxa"/>
              <w:right w:w="108" w:type="dxa"/>
            </w:tcMar>
            <w:vAlign w:val="center"/>
          </w:tcPr>
          <w:p>
            <w:pPr>
              <w:widowControl/>
              <w:jc w:val="center"/>
              <w:rPr>
                <w:rFonts w:ascii="黑体" w:hAnsi="黑体" w:eastAsia="黑体"/>
                <w:szCs w:val="21"/>
              </w:rPr>
            </w:pPr>
            <w:r>
              <w:rPr>
                <w:rFonts w:hint="eastAsia" w:ascii="黑体" w:hAnsi="黑体" w:eastAsia="黑体"/>
                <w:kern w:val="0"/>
                <w:szCs w:val="21"/>
              </w:rPr>
              <w:t>总计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22" w:hRule="atLeast"/>
          <w:jc w:val="center"/>
        </w:trPr>
        <w:tc>
          <w:tcPr>
            <w:tcW w:w="5093" w:type="dxa"/>
            <w:gridSpan w:val="3"/>
            <w:vMerge w:val="continue"/>
            <w:shd w:val="clear" w:color="auto" w:fill="auto"/>
            <w:tcMar>
              <w:left w:w="108" w:type="dxa"/>
              <w:right w:w="108" w:type="dxa"/>
            </w:tcMar>
            <w:vAlign w:val="center"/>
          </w:tcPr>
          <w:p>
            <w:pPr>
              <w:jc w:val="center"/>
              <w:rPr>
                <w:rFonts w:ascii="仿宋_GB2312" w:hAnsi="Times New Roman" w:eastAsia="仿宋_GB2312"/>
                <w:szCs w:val="21"/>
              </w:rPr>
            </w:pPr>
          </w:p>
        </w:tc>
        <w:tc>
          <w:tcPr>
            <w:tcW w:w="829" w:type="dxa"/>
            <w:vMerge w:val="continue"/>
            <w:shd w:val="clear" w:color="auto" w:fill="auto"/>
            <w:tcMar>
              <w:left w:w="108" w:type="dxa"/>
              <w:right w:w="108" w:type="dxa"/>
            </w:tcMar>
            <w:vAlign w:val="center"/>
          </w:tcPr>
          <w:p>
            <w:pPr>
              <w:jc w:val="center"/>
              <w:rPr>
                <w:rFonts w:ascii="黑体" w:hAnsi="黑体" w:eastAsia="黑体"/>
                <w:szCs w:val="21"/>
              </w:rPr>
            </w:pPr>
          </w:p>
        </w:tc>
        <w:tc>
          <w:tcPr>
            <w:tcW w:w="567"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商业企业</w:t>
            </w:r>
          </w:p>
        </w:tc>
        <w:tc>
          <w:tcPr>
            <w:tcW w:w="567"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科研机构</w:t>
            </w:r>
          </w:p>
        </w:tc>
        <w:tc>
          <w:tcPr>
            <w:tcW w:w="731" w:type="dxa"/>
            <w:shd w:val="clear" w:color="auto" w:fill="auto"/>
            <w:tcMar>
              <w:left w:w="108" w:type="dxa"/>
              <w:right w:w="108" w:type="dxa"/>
            </w:tcMar>
            <w:vAlign w:val="center"/>
          </w:tcPr>
          <w:p>
            <w:pPr>
              <w:widowControl/>
              <w:spacing w:line="320" w:lineRule="exact"/>
              <w:ind w:left="-107" w:leftChars="-51" w:right="-107" w:rightChars="-51"/>
              <w:jc w:val="center"/>
              <w:rPr>
                <w:rFonts w:ascii="黑体" w:hAnsi="黑体" w:eastAsia="黑体"/>
                <w:szCs w:val="21"/>
              </w:rPr>
            </w:pPr>
            <w:r>
              <w:rPr>
                <w:rFonts w:hint="eastAsia" w:ascii="黑体" w:hAnsi="黑体" w:eastAsia="黑体"/>
                <w:kern w:val="0"/>
                <w:szCs w:val="21"/>
              </w:rPr>
              <w:t>社会公益组织</w:t>
            </w:r>
          </w:p>
        </w:tc>
        <w:tc>
          <w:tcPr>
            <w:tcW w:w="708" w:type="dxa"/>
            <w:shd w:val="clear" w:color="auto" w:fill="auto"/>
            <w:tcMar>
              <w:left w:w="108" w:type="dxa"/>
              <w:right w:w="108" w:type="dxa"/>
            </w:tcMar>
            <w:vAlign w:val="center"/>
          </w:tcPr>
          <w:p>
            <w:pPr>
              <w:widowControl/>
              <w:spacing w:line="320" w:lineRule="exact"/>
              <w:ind w:left="-106" w:leftChars="-51" w:right="-107" w:rightChars="-51" w:hanging="1"/>
              <w:jc w:val="center"/>
              <w:rPr>
                <w:rFonts w:ascii="黑体" w:hAnsi="黑体" w:eastAsia="黑体"/>
                <w:szCs w:val="21"/>
              </w:rPr>
            </w:pPr>
            <w:r>
              <w:rPr>
                <w:rFonts w:hint="eastAsia" w:ascii="黑体" w:hAnsi="黑体" w:eastAsia="黑体"/>
                <w:kern w:val="0"/>
                <w:szCs w:val="21"/>
              </w:rPr>
              <w:t>法律服务机构</w:t>
            </w:r>
          </w:p>
        </w:tc>
        <w:tc>
          <w:tcPr>
            <w:tcW w:w="567" w:type="dxa"/>
            <w:shd w:val="clear" w:color="auto" w:fill="auto"/>
            <w:tcMar>
              <w:left w:w="108" w:type="dxa"/>
              <w:right w:w="108" w:type="dxa"/>
            </w:tcMar>
            <w:vAlign w:val="center"/>
          </w:tcPr>
          <w:p>
            <w:pPr>
              <w:widowControl/>
              <w:spacing w:line="360" w:lineRule="exact"/>
              <w:ind w:left="-63" w:leftChars="-30" w:right="-134" w:rightChars="-64"/>
              <w:jc w:val="center"/>
              <w:rPr>
                <w:rFonts w:ascii="黑体" w:hAnsi="黑体" w:eastAsia="黑体"/>
                <w:szCs w:val="21"/>
              </w:rPr>
            </w:pPr>
            <w:r>
              <w:rPr>
                <w:rFonts w:hint="eastAsia" w:ascii="黑体" w:hAnsi="黑体" w:eastAsia="黑体"/>
                <w:kern w:val="0"/>
                <w:szCs w:val="21"/>
              </w:rPr>
              <w:t>其他</w:t>
            </w:r>
          </w:p>
        </w:tc>
        <w:tc>
          <w:tcPr>
            <w:tcW w:w="851" w:type="dxa"/>
            <w:vMerge w:val="continue"/>
            <w:shd w:val="clear" w:color="auto" w:fill="auto"/>
            <w:tcMar>
              <w:left w:w="108" w:type="dxa"/>
              <w:right w:w="108" w:type="dxa"/>
            </w:tcMar>
            <w:vAlign w:val="center"/>
          </w:tcPr>
          <w:p>
            <w:pPr>
              <w:jc w:val="center"/>
              <w:rPr>
                <w:rFonts w:ascii="仿宋_GB2312" w:hAnsi="Times New Roman" w:eastAsia="仿宋_GB2312"/>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w:t>
            </w:r>
            <w:bookmarkStart w:id="0" w:name="_Hlk66973412"/>
            <w:r>
              <w:rPr>
                <w:rFonts w:hint="eastAsia" w:ascii="黑体" w:hAnsi="黑体" w:eastAsia="黑体"/>
                <w:kern w:val="0"/>
                <w:szCs w:val="21"/>
              </w:rPr>
              <w:t>本年新收政府信息公开申请数量</w:t>
            </w:r>
            <w:bookmarkEnd w:id="0"/>
          </w:p>
        </w:tc>
        <w:tc>
          <w:tcPr>
            <w:tcW w:w="829"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9</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2</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11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jc w:val="center"/>
        </w:trPr>
        <w:tc>
          <w:tcPr>
            <w:tcW w:w="5093" w:type="dxa"/>
            <w:gridSpan w:val="3"/>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二、上年结转政府信息公开申请数量</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restart"/>
            <w:shd w:val="clear" w:color="auto" w:fill="auto"/>
            <w:tcMar>
              <w:left w:w="108" w:type="dxa"/>
              <w:right w:w="108" w:type="dxa"/>
            </w:tcMar>
            <w:vAlign w:val="center"/>
          </w:tcPr>
          <w:p>
            <w:pPr>
              <w:widowControl/>
              <w:spacing w:after="180"/>
              <w:rPr>
                <w:rFonts w:ascii="黑体" w:hAnsi="黑体" w:eastAsia="黑体"/>
                <w:szCs w:val="21"/>
              </w:rPr>
            </w:pPr>
            <w:r>
              <w:rPr>
                <w:rFonts w:hint="eastAsia" w:ascii="黑体" w:hAnsi="黑体" w:eastAsia="黑体"/>
                <w:kern w:val="0"/>
                <w:szCs w:val="21"/>
              </w:rPr>
              <w:t>三、本年度办理结果</w:t>
            </w: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（一）予以公开</w:t>
            </w:r>
          </w:p>
        </w:tc>
        <w:tc>
          <w:tcPr>
            <w:tcW w:w="829"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2</w:t>
            </w:r>
          </w:p>
        </w:tc>
        <w:tc>
          <w:tcPr>
            <w:tcW w:w="567"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2</w:t>
            </w:r>
          </w:p>
        </w:tc>
        <w:tc>
          <w:tcPr>
            <w:tcW w:w="567"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rPr>
                <w:rFonts w:ascii="黑体" w:hAnsi="黑体" w:eastAsia="黑体"/>
                <w:szCs w:val="21"/>
              </w:rPr>
            </w:pPr>
            <w:r>
              <w:rPr>
                <w:rFonts w:hint="eastAsia" w:ascii="黑体" w:hAnsi="黑体" w:eastAsia="黑体"/>
                <w:kern w:val="0"/>
                <w:szCs w:val="21"/>
              </w:rPr>
              <w:t>（二）部分公开（</w:t>
            </w:r>
            <w:bookmarkStart w:id="1" w:name="_Hlk66973981"/>
            <w:r>
              <w:rPr>
                <w:rFonts w:hint="eastAsia" w:ascii="黑体" w:hAnsi="黑体" w:eastAsia="黑体"/>
                <w:kern w:val="0"/>
                <w:szCs w:val="21"/>
              </w:rPr>
              <w:t>区分处理的，只计这一情形，不计其他情形</w:t>
            </w:r>
            <w:bookmarkEnd w:id="1"/>
            <w:r>
              <w:rPr>
                <w:rFonts w:hint="eastAsia" w:ascii="黑体" w:hAnsi="黑体" w:eastAsia="黑体"/>
                <w:kern w:val="0"/>
                <w:szCs w:val="21"/>
              </w:rPr>
              <w:t>）</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2</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（三）不予公开</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1.属于国家秘密</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2" w:name="_Hlk66974104"/>
            <w:r>
              <w:rPr>
                <w:rFonts w:hint="eastAsia" w:ascii="仿宋_GB2312" w:hAnsi="黑体" w:eastAsia="仿宋_GB2312"/>
                <w:kern w:val="0"/>
                <w:szCs w:val="21"/>
              </w:rPr>
              <w:t>其他法律行政法规禁止公开</w:t>
            </w:r>
            <w:bookmarkEnd w:id="2"/>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3.危及“三安全一稳定”</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4.</w:t>
            </w:r>
            <w:bookmarkStart w:id="3" w:name="_Hlk66974290"/>
            <w:r>
              <w:rPr>
                <w:rFonts w:hint="eastAsia" w:ascii="仿宋_GB2312" w:hAnsi="黑体" w:eastAsia="仿宋_GB2312"/>
                <w:kern w:val="0"/>
                <w:szCs w:val="21"/>
              </w:rPr>
              <w:t>保护第三方合法权益</w:t>
            </w:r>
            <w:bookmarkEnd w:id="3"/>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5.属于三类内部事务信息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6.</w:t>
            </w:r>
            <w:bookmarkStart w:id="4" w:name="_Hlk66974555"/>
            <w:r>
              <w:rPr>
                <w:rFonts w:hint="eastAsia" w:ascii="仿宋_GB2312" w:hAnsi="黑体" w:eastAsia="仿宋_GB2312"/>
                <w:kern w:val="0"/>
                <w:szCs w:val="21"/>
              </w:rPr>
              <w:t>属于四类过程性信息</w:t>
            </w:r>
            <w:bookmarkEnd w:id="4"/>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7.属于行政执法案卷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8.</w:t>
            </w:r>
            <w:bookmarkStart w:id="5" w:name="_Hlk66975211"/>
            <w:r>
              <w:rPr>
                <w:rFonts w:hint="eastAsia" w:ascii="仿宋_GB2312" w:hAnsi="黑体" w:eastAsia="仿宋_GB2312"/>
                <w:kern w:val="0"/>
                <w:szCs w:val="21"/>
              </w:rPr>
              <w:t>属于行政查询事项</w:t>
            </w:r>
            <w:bookmarkEnd w:id="5"/>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（四）无法提供</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1.本机关不掌握相关政府信息</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1</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w:t>
            </w:r>
            <w:bookmarkStart w:id="6" w:name="_Hlk66975392"/>
            <w:r>
              <w:rPr>
                <w:rFonts w:hint="eastAsia" w:ascii="仿宋_GB2312" w:hAnsi="黑体" w:eastAsia="仿宋_GB2312"/>
                <w:kern w:val="0"/>
                <w:szCs w:val="21"/>
              </w:rPr>
              <w:t>没有现成信息需要另行制作</w:t>
            </w:r>
            <w:bookmarkEnd w:id="6"/>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2</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ind w:left="-107" w:leftChars="-51"/>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3.</w:t>
            </w:r>
            <w:bookmarkStart w:id="7" w:name="_Hlk66975466"/>
            <w:r>
              <w:rPr>
                <w:rFonts w:hint="eastAsia" w:ascii="仿宋_GB2312" w:hAnsi="黑体" w:eastAsia="仿宋_GB2312"/>
                <w:kern w:val="0"/>
                <w:szCs w:val="21"/>
              </w:rPr>
              <w:t>补正后申请内容仍不明确</w:t>
            </w:r>
            <w:bookmarkEnd w:id="7"/>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200" w:lineRule="exact"/>
              <w:ind w:left="-107" w:leftChars="-51"/>
              <w:rPr>
                <w:rFonts w:ascii="黑体" w:hAnsi="黑体" w:eastAsia="黑体"/>
                <w:szCs w:val="21"/>
              </w:rPr>
            </w:pPr>
            <w:r>
              <w:rPr>
                <w:rFonts w:hint="eastAsia" w:ascii="黑体" w:hAnsi="黑体" w:eastAsia="黑体"/>
                <w:kern w:val="0"/>
                <w:szCs w:val="21"/>
              </w:rPr>
              <w:t>（五）不予处理</w:t>
            </w: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1.</w:t>
            </w:r>
            <w:bookmarkStart w:id="8" w:name="_Hlk66975537"/>
            <w:r>
              <w:rPr>
                <w:rFonts w:hint="eastAsia" w:ascii="仿宋_GB2312" w:hAnsi="黑体" w:eastAsia="仿宋_GB2312"/>
                <w:kern w:val="0"/>
                <w:szCs w:val="21"/>
              </w:rPr>
              <w:t>信访举报投诉类申请</w:t>
            </w:r>
            <w:bookmarkEnd w:id="8"/>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kern w:val="0"/>
                <w:szCs w:val="21"/>
              </w:rPr>
            </w:pPr>
            <w:r>
              <w:rPr>
                <w:rFonts w:hint="eastAsia" w:ascii="仿宋_GB2312" w:hAnsi="黑体" w:eastAsia="仿宋_GB2312"/>
                <w:kern w:val="0"/>
                <w:szCs w:val="21"/>
              </w:rPr>
              <w:t>2.重复申请</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454"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3.要求提供公开出版物</w:t>
            </w:r>
          </w:p>
        </w:tc>
        <w:tc>
          <w:tcPr>
            <w:tcW w:w="829"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ascii="仿宋_GB2312" w:hAnsi="Times New Roman" w:eastAsia="仿宋_GB2312"/>
                <w:szCs w:val="21"/>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trHeight w:val="397" w:hRule="exact"/>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200" w:lineRule="exact"/>
              <w:rPr>
                <w:rFonts w:ascii="仿宋_GB2312" w:hAnsi="黑体" w:eastAsia="仿宋_GB2312"/>
                <w:szCs w:val="21"/>
              </w:rPr>
            </w:pPr>
            <w:r>
              <w:rPr>
                <w:rFonts w:hint="eastAsia" w:ascii="仿宋_GB2312" w:hAnsi="黑体" w:eastAsia="仿宋_GB2312"/>
                <w:kern w:val="0"/>
                <w:szCs w:val="21"/>
              </w:rPr>
              <w:t>4.无正当理由大量反复申请</w:t>
            </w:r>
          </w:p>
        </w:tc>
        <w:tc>
          <w:tcPr>
            <w:tcW w:w="829"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spacing w:line="200" w:lineRule="exact"/>
              <w:rPr>
                <w:rFonts w:ascii="黑体" w:hAnsi="黑体" w:eastAsia="黑体"/>
                <w:szCs w:val="21"/>
              </w:rPr>
            </w:pPr>
          </w:p>
        </w:tc>
        <w:tc>
          <w:tcPr>
            <w:tcW w:w="2976" w:type="dxa"/>
            <w:shd w:val="clear" w:color="auto" w:fill="auto"/>
            <w:tcMar>
              <w:left w:w="108" w:type="dxa"/>
              <w:right w:w="108" w:type="dxa"/>
            </w:tcMar>
            <w:vAlign w:val="center"/>
          </w:tcPr>
          <w:p>
            <w:pPr>
              <w:widowControl/>
              <w:spacing w:line="300" w:lineRule="exact"/>
              <w:rPr>
                <w:rFonts w:ascii="仿宋_GB2312" w:hAnsi="黑体" w:eastAsia="仿宋_GB2312"/>
                <w:kern w:val="0"/>
                <w:szCs w:val="21"/>
              </w:rPr>
            </w:pPr>
            <w:r>
              <w:rPr>
                <w:rFonts w:hint="eastAsia" w:ascii="仿宋_GB2312" w:hAnsi="黑体" w:eastAsia="仿宋_GB2312"/>
                <w:kern w:val="0"/>
                <w:szCs w:val="21"/>
              </w:rPr>
              <w:t>5.要求行政机关确认或重新</w:t>
            </w:r>
          </w:p>
          <w:p>
            <w:pPr>
              <w:widowControl/>
              <w:spacing w:line="300" w:lineRule="exact"/>
              <w:ind w:firstLine="210" w:firstLineChars="100"/>
              <w:rPr>
                <w:rFonts w:ascii="仿宋_GB2312" w:hAnsi="黑体" w:eastAsia="仿宋_GB2312"/>
                <w:szCs w:val="21"/>
              </w:rPr>
            </w:pPr>
            <w:r>
              <w:rPr>
                <w:rFonts w:hint="eastAsia" w:ascii="仿宋_GB2312" w:hAnsi="黑体" w:eastAsia="仿宋_GB2312"/>
                <w:kern w:val="0"/>
                <w:szCs w:val="21"/>
              </w:rPr>
              <w:t>出具已获取信息</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restart"/>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（六）其他处理</w:t>
            </w:r>
          </w:p>
        </w:tc>
        <w:tc>
          <w:tcPr>
            <w:tcW w:w="2976" w:type="dxa"/>
            <w:shd w:val="clear" w:color="auto" w:fill="auto"/>
            <w:vAlign w:val="center"/>
          </w:tcPr>
          <w:p>
            <w:pPr>
              <w:widowControl/>
              <w:spacing w:line="300" w:lineRule="exact"/>
              <w:rPr>
                <w:rFonts w:ascii="仿宋_GB2312" w:hAnsi="楷体" w:eastAsia="仿宋_GB2312"/>
              </w:rPr>
            </w:pPr>
            <w:r>
              <w:rPr>
                <w:rFonts w:hint="eastAsia" w:ascii="仿宋_GB2312" w:hAnsi="楷体" w:eastAsia="仿宋_GB2312"/>
              </w:rPr>
              <w:t>1.申请人无正当理由逾期不补正、行政机关不再处理其政府信息公开申请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2.申请人逾期未按收费通知要求缴纳费用、行政机关不再处理其政府信息公开申请</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1701" w:type="dxa"/>
            <w:vMerge w:val="continue"/>
            <w:shd w:val="clear" w:color="auto" w:fill="auto"/>
            <w:tcMar>
              <w:left w:w="108" w:type="dxa"/>
              <w:right w:w="108" w:type="dxa"/>
            </w:tcMar>
            <w:vAlign w:val="center"/>
          </w:tcPr>
          <w:p>
            <w:pPr>
              <w:widowControl/>
              <w:spacing w:line="300" w:lineRule="exact"/>
              <w:rPr>
                <w:rFonts w:ascii="黑体" w:hAnsi="黑体" w:eastAsia="黑体"/>
                <w:kern w:val="0"/>
                <w:szCs w:val="21"/>
              </w:rPr>
            </w:pPr>
          </w:p>
        </w:tc>
        <w:tc>
          <w:tcPr>
            <w:tcW w:w="2976" w:type="dxa"/>
            <w:shd w:val="clear" w:color="auto" w:fill="auto"/>
            <w:vAlign w:val="center"/>
          </w:tcPr>
          <w:p>
            <w:pPr>
              <w:widowControl/>
              <w:spacing w:line="300" w:lineRule="exact"/>
              <w:rPr>
                <w:rFonts w:ascii="仿宋_GB2312" w:hAnsi="黑体" w:eastAsia="仿宋_GB2312"/>
                <w:kern w:val="0"/>
                <w:szCs w:val="21"/>
              </w:rPr>
            </w:pPr>
            <w:r>
              <w:rPr>
                <w:rFonts w:hint="eastAsia" w:ascii="仿宋_GB2312" w:hAnsi="楷体" w:eastAsia="仿宋_GB2312"/>
              </w:rPr>
              <w:t>3.其他</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416" w:type="dxa"/>
            <w:vMerge w:val="continue"/>
            <w:shd w:val="clear" w:color="auto" w:fill="auto"/>
            <w:tcMar>
              <w:left w:w="108" w:type="dxa"/>
              <w:right w:w="108" w:type="dxa"/>
            </w:tcMar>
            <w:vAlign w:val="center"/>
          </w:tcPr>
          <w:p>
            <w:pPr>
              <w:rPr>
                <w:rFonts w:ascii="黑体" w:hAnsi="黑体" w:eastAsia="黑体"/>
                <w:szCs w:val="21"/>
              </w:rPr>
            </w:pPr>
          </w:p>
        </w:tc>
        <w:tc>
          <w:tcPr>
            <w:tcW w:w="4677" w:type="dxa"/>
            <w:gridSpan w:val="2"/>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（七）总计</w:t>
            </w:r>
          </w:p>
        </w:tc>
        <w:tc>
          <w:tcPr>
            <w:tcW w:w="829"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7</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2</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Ex>
        <w:trPr>
          <w:jc w:val="center"/>
        </w:trPr>
        <w:tc>
          <w:tcPr>
            <w:tcW w:w="5093" w:type="dxa"/>
            <w:gridSpan w:val="3"/>
            <w:shd w:val="clear" w:color="auto" w:fill="auto"/>
            <w:tcMar>
              <w:left w:w="108" w:type="dxa"/>
              <w:right w:w="108" w:type="dxa"/>
            </w:tcMar>
            <w:vAlign w:val="center"/>
          </w:tcPr>
          <w:p>
            <w:pPr>
              <w:widowControl/>
              <w:spacing w:line="300" w:lineRule="exact"/>
              <w:rPr>
                <w:rFonts w:ascii="黑体" w:hAnsi="黑体" w:eastAsia="黑体"/>
                <w:kern w:val="0"/>
                <w:szCs w:val="21"/>
              </w:rPr>
            </w:pPr>
            <w:r>
              <w:rPr>
                <w:rFonts w:hint="eastAsia" w:ascii="黑体" w:hAnsi="黑体" w:eastAsia="黑体"/>
                <w:kern w:val="0"/>
                <w:szCs w:val="21"/>
              </w:rPr>
              <w:t>四、结转下年度继续办理</w:t>
            </w:r>
          </w:p>
        </w:tc>
        <w:tc>
          <w:tcPr>
            <w:tcW w:w="829" w:type="dxa"/>
            <w:shd w:val="clear" w:color="auto" w:fill="auto"/>
            <w:tcMar>
              <w:left w:w="108" w:type="dxa"/>
              <w:right w:w="108" w:type="dxa"/>
            </w:tcMar>
            <w:vAlign w:val="center"/>
          </w:tcPr>
          <w:p>
            <w:pPr>
              <w:widowControl/>
              <w:spacing w:after="180" w:line="200" w:lineRule="exact"/>
              <w:jc w:val="center"/>
              <w:rPr>
                <w:rFonts w:hint="default" w:ascii="仿宋_GB2312" w:hAnsi="Times New Roman" w:eastAsia="仿宋_GB2312"/>
                <w:szCs w:val="21"/>
                <w:lang w:val="en-US" w:eastAsia="zh-CN"/>
              </w:rPr>
            </w:pPr>
            <w:r>
              <w:rPr>
                <w:rFonts w:hint="eastAsia" w:ascii="仿宋_GB2312" w:hAnsi="Times New Roman"/>
                <w:szCs w:val="21"/>
                <w:lang w:val="en-US" w:eastAsia="zh-CN"/>
              </w:rPr>
              <w:t>2</w:t>
            </w:r>
          </w:p>
        </w:tc>
        <w:tc>
          <w:tcPr>
            <w:tcW w:w="567" w:type="dxa"/>
            <w:shd w:val="clear" w:color="auto" w:fill="auto"/>
            <w:tcMar>
              <w:left w:w="108" w:type="dxa"/>
              <w:right w:w="108" w:type="dxa"/>
            </w:tcMar>
            <w:vAlign w:val="center"/>
          </w:tcPr>
          <w:p>
            <w:pPr>
              <w:widowControl/>
              <w:spacing w:after="180" w:line="200" w:lineRule="exact"/>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31"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708"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567" w:type="dxa"/>
            <w:shd w:val="clear" w:color="auto" w:fill="auto"/>
            <w:tcMar>
              <w:left w:w="108" w:type="dxa"/>
              <w:right w:w="108" w:type="dxa"/>
            </w:tcMar>
            <w:vAlign w:val="center"/>
          </w:tcPr>
          <w:p>
            <w:pPr>
              <w:widowControl/>
              <w:spacing w:after="180"/>
              <w:jc w:val="center"/>
              <w:rPr>
                <w:rFonts w:hint="eastAsia" w:ascii="仿宋_GB2312" w:hAnsi="Times New Roman" w:eastAsia="仿宋_GB2312"/>
                <w:szCs w:val="21"/>
                <w:lang w:val="en-US" w:eastAsia="zh-CN"/>
              </w:rPr>
            </w:pPr>
            <w:r>
              <w:rPr>
                <w:rFonts w:hint="eastAsia" w:ascii="仿宋_GB2312" w:hAnsi="Times New Roman"/>
                <w:szCs w:val="21"/>
                <w:lang w:val="en-US" w:eastAsia="zh-CN"/>
              </w:rPr>
              <w:t>0</w:t>
            </w:r>
          </w:p>
        </w:tc>
        <w:tc>
          <w:tcPr>
            <w:tcW w:w="851" w:type="dxa"/>
            <w:shd w:val="clear" w:color="auto" w:fill="auto"/>
            <w:tcMar>
              <w:left w:w="108" w:type="dxa"/>
              <w:right w:w="108" w:type="dxa"/>
            </w:tcMar>
            <w:vAlign w:val="center"/>
          </w:tcPr>
          <w:p>
            <w:pPr>
              <w:widowControl/>
              <w:spacing w:after="180"/>
              <w:jc w:val="center"/>
              <w:rPr>
                <w:rFonts w:hint="default" w:ascii="仿宋_GB2312" w:hAnsi="Times New Roman" w:eastAsia="仿宋_GB2312"/>
                <w:szCs w:val="21"/>
                <w:lang w:val="en-US" w:eastAsia="zh-CN"/>
              </w:rPr>
            </w:pPr>
            <w:r>
              <w:rPr>
                <w:rFonts w:hint="default" w:ascii="仿宋_GB2312" w:hAnsi="Times New Roman"/>
                <w:szCs w:val="21"/>
                <w:lang w:val="en-US" w:eastAsia="zh-CN"/>
              </w:rPr>
              <w:t>2</w:t>
            </w:r>
          </w:p>
        </w:tc>
      </w:tr>
    </w:tbl>
    <w:p>
      <w:pPr>
        <w:spacing w:line="600" w:lineRule="exact"/>
        <w:ind w:firstLine="640" w:firstLineChars="200"/>
        <w:rPr>
          <w:rFonts w:hint="eastAsia" w:ascii="CESI黑体-GB13000" w:hAnsi="CESI黑体-GB13000" w:eastAsia="CESI黑体-GB13000" w:cs="CESI黑体-GB13000"/>
          <w:b w:val="0"/>
          <w:bCs w:val="0"/>
          <w:sz w:val="32"/>
          <w:szCs w:val="32"/>
        </w:rPr>
      </w:pPr>
      <w:r>
        <w:rPr>
          <w:rFonts w:hint="eastAsia" w:ascii="CESI黑体-GB13000" w:hAnsi="CESI黑体-GB13000" w:eastAsia="CESI黑体-GB13000" w:cs="CESI黑体-GB13000"/>
          <w:b w:val="0"/>
          <w:bCs w:val="0"/>
          <w:sz w:val="32"/>
          <w:szCs w:val="32"/>
          <w:lang w:eastAsia="zh-CN"/>
        </w:rPr>
        <w:t>四、</w:t>
      </w:r>
      <w:r>
        <w:rPr>
          <w:rFonts w:hint="eastAsia" w:ascii="CESI黑体-GB13000" w:hAnsi="CESI黑体-GB13000" w:eastAsia="CESI黑体-GB13000" w:cs="CESI黑体-GB13000"/>
          <w:b w:val="0"/>
          <w:bCs w:val="0"/>
          <w:sz w:val="32"/>
          <w:szCs w:val="32"/>
        </w:rPr>
        <w:t>因政府信息公开工作被申请行政复议、提起行政诉讼情况</w:t>
      </w:r>
    </w:p>
    <w:tbl>
      <w:tblPr>
        <w:tblStyle w:val="8"/>
        <w:tblW w:w="9071"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ascii="黑体" w:hAnsi="黑体" w:eastAsia="黑体"/>
                <w:kern w:val="0"/>
                <w:sz w:val="20"/>
                <w:szCs w:val="20"/>
              </w:rPr>
            </w:pPr>
            <w:r>
              <w:rPr>
                <w:rFonts w:ascii="黑体" w:hAnsi="黑体" w:eastAsia="黑体"/>
                <w:kern w:val="0"/>
                <w:sz w:val="20"/>
                <w:szCs w:val="20"/>
              </w:rPr>
              <w:t>结果</w:t>
            </w:r>
          </w:p>
          <w:p>
            <w:pPr>
              <w:widowControl/>
              <w:ind w:left="-149" w:leftChars="-71" w:right="-170" w:rightChars="-81"/>
              <w:jc w:val="center"/>
              <w:rPr>
                <w:rFonts w:ascii="黑体" w:hAnsi="黑体" w:eastAsia="黑体"/>
              </w:rPr>
            </w:pPr>
            <w:r>
              <w:rPr>
                <w:rFonts w:ascii="黑体" w:hAnsi="黑体" w:eastAsia="黑体"/>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ascii="黑体" w:hAnsi="黑体" w:eastAsia="黑体"/>
              </w:rPr>
            </w:pPr>
            <w:r>
              <w:rPr>
                <w:rFonts w:ascii="黑体" w:hAnsi="黑体" w:eastAsia="黑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ascii="黑体" w:hAnsi="黑体" w:eastAsia="黑体"/>
              </w:rPr>
            </w:pPr>
            <w:r>
              <w:rPr>
                <w:rFonts w:ascii="黑体" w:hAnsi="黑体" w:eastAsia="黑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ascii="黑体" w:hAnsi="黑体" w:eastAsia="黑体"/>
                <w:kern w:val="0"/>
                <w:sz w:val="20"/>
                <w:szCs w:val="20"/>
              </w:rPr>
            </w:pPr>
            <w:r>
              <w:rPr>
                <w:rFonts w:ascii="黑体" w:hAnsi="黑体" w:eastAsia="黑体"/>
                <w:kern w:val="0"/>
                <w:sz w:val="20"/>
                <w:szCs w:val="20"/>
              </w:rPr>
              <w:t>尚未</w:t>
            </w:r>
          </w:p>
          <w:p>
            <w:pPr>
              <w:widowControl/>
              <w:ind w:left="-118" w:leftChars="-56" w:right="-118" w:rightChars="-56"/>
              <w:jc w:val="center"/>
              <w:rPr>
                <w:rFonts w:ascii="黑体" w:hAnsi="黑体" w:eastAsia="黑体"/>
              </w:rPr>
            </w:pPr>
            <w:r>
              <w:rPr>
                <w:rFonts w:ascii="黑体" w:hAnsi="黑体" w:eastAsia="黑体"/>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ascii="黑体" w:hAnsi="黑体" w:eastAsia="黑体"/>
                <w:kern w:val="0"/>
                <w:sz w:val="20"/>
                <w:szCs w:val="20"/>
              </w:rPr>
            </w:pPr>
            <w:r>
              <w:rPr>
                <w:rFonts w:ascii="黑体" w:hAnsi="黑体" w:eastAsia="黑体"/>
                <w:kern w:val="0"/>
                <w:sz w:val="20"/>
                <w:szCs w:val="20"/>
              </w:rPr>
              <w:t>总</w:t>
            </w:r>
          </w:p>
          <w:p>
            <w:pPr>
              <w:widowControl/>
              <w:spacing w:line="320" w:lineRule="exact"/>
              <w:jc w:val="center"/>
              <w:rPr>
                <w:rFonts w:ascii="黑体" w:hAnsi="黑体" w:eastAsia="黑体"/>
              </w:rPr>
            </w:pPr>
            <w:r>
              <w:rPr>
                <w:rFonts w:ascii="黑体" w:hAnsi="黑体" w:eastAsia="黑体"/>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bookmarkStart w:id="9" w:name="_Hlk67039688"/>
            <w:r>
              <w:rPr>
                <w:rFonts w:ascii="黑体" w:hAnsi="黑体" w:eastAsia="黑体"/>
                <w:kern w:val="0"/>
                <w:sz w:val="20"/>
                <w:szCs w:val="20"/>
              </w:rPr>
              <w:t>复议后起诉</w:t>
            </w:r>
            <w:bookmarkEnd w:id="9"/>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ascii="黑体" w:hAnsi="黑体" w:eastAsia="黑体"/>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ascii="黑体" w:hAnsi="黑体" w:eastAsia="黑体"/>
              </w:rPr>
            </w:pPr>
            <w:r>
              <w:rPr>
                <w:rFonts w:ascii="黑体" w:hAnsi="黑体" w:eastAsia="黑体"/>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ascii="黑体" w:hAnsi="黑体" w:eastAsia="黑体"/>
              </w:rPr>
            </w:pPr>
            <w:r>
              <w:rPr>
                <w:rFonts w:ascii="黑体" w:hAnsi="黑体" w:eastAsia="黑体"/>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ascii="黑体" w:hAnsi="黑体" w:eastAsia="黑体"/>
                <w:kern w:val="0"/>
                <w:sz w:val="20"/>
                <w:szCs w:val="20"/>
              </w:rPr>
            </w:pPr>
            <w:r>
              <w:rPr>
                <w:rFonts w:ascii="黑体" w:hAnsi="黑体" w:eastAsia="黑体"/>
                <w:kern w:val="0"/>
                <w:sz w:val="20"/>
                <w:szCs w:val="20"/>
              </w:rPr>
              <w:t>其他</w:t>
            </w:r>
          </w:p>
          <w:p>
            <w:pPr>
              <w:widowControl/>
              <w:ind w:left="-126" w:leftChars="-60" w:right="-136" w:rightChars="-65"/>
              <w:jc w:val="center"/>
              <w:rPr>
                <w:rFonts w:ascii="黑体" w:hAnsi="黑体" w:eastAsia="黑体"/>
              </w:rPr>
            </w:pPr>
            <w:r>
              <w:rPr>
                <w:rFonts w:ascii="黑体" w:hAnsi="黑体" w:eastAsia="黑体"/>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ascii="黑体" w:hAnsi="黑体" w:eastAsia="黑体"/>
                <w:kern w:val="0"/>
                <w:sz w:val="20"/>
                <w:szCs w:val="20"/>
              </w:rPr>
            </w:pPr>
            <w:r>
              <w:rPr>
                <w:rFonts w:ascii="黑体" w:hAnsi="黑体" w:eastAsia="黑体"/>
                <w:kern w:val="0"/>
                <w:sz w:val="20"/>
                <w:szCs w:val="20"/>
              </w:rPr>
              <w:t>尚未</w:t>
            </w:r>
          </w:p>
          <w:p>
            <w:pPr>
              <w:widowControl/>
              <w:ind w:left="-164" w:leftChars="-78" w:right="-153" w:rightChars="-73"/>
              <w:jc w:val="center"/>
              <w:rPr>
                <w:rFonts w:ascii="黑体" w:hAnsi="黑体" w:eastAsia="黑体"/>
              </w:rPr>
            </w:pPr>
            <w:r>
              <w:rPr>
                <w:rFonts w:ascii="黑体" w:hAnsi="黑体" w:eastAsia="黑体"/>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ascii="黑体" w:hAnsi="黑体" w:eastAsia="黑体"/>
              </w:rPr>
            </w:pPr>
            <w:r>
              <w:rPr>
                <w:rFonts w:ascii="黑体" w:hAnsi="黑体" w:eastAsia="黑体"/>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ascii="黑体" w:hAnsi="黑体" w:eastAsia="黑体"/>
                <w:kern w:val="0"/>
                <w:sz w:val="20"/>
                <w:szCs w:val="20"/>
              </w:rPr>
            </w:pPr>
            <w:r>
              <w:rPr>
                <w:rFonts w:ascii="黑体" w:hAnsi="黑体" w:eastAsia="黑体"/>
                <w:kern w:val="0"/>
                <w:sz w:val="20"/>
                <w:szCs w:val="20"/>
              </w:rPr>
              <w:t>结果</w:t>
            </w:r>
          </w:p>
          <w:p>
            <w:pPr>
              <w:widowControl/>
              <w:ind w:left="-136" w:leftChars="-65" w:right="-124" w:rightChars="-59"/>
              <w:jc w:val="center"/>
              <w:rPr>
                <w:rFonts w:ascii="黑体" w:hAnsi="黑体" w:eastAsia="黑体"/>
              </w:rPr>
            </w:pPr>
            <w:r>
              <w:rPr>
                <w:rFonts w:ascii="黑体" w:hAnsi="黑体" w:eastAsia="黑体"/>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ascii="黑体" w:hAnsi="黑体" w:eastAsia="黑体"/>
                <w:kern w:val="0"/>
                <w:sz w:val="20"/>
                <w:szCs w:val="20"/>
              </w:rPr>
            </w:pPr>
            <w:r>
              <w:rPr>
                <w:rFonts w:ascii="黑体" w:hAnsi="黑体" w:eastAsia="黑体"/>
                <w:kern w:val="0"/>
                <w:sz w:val="20"/>
                <w:szCs w:val="20"/>
              </w:rPr>
              <w:t>其他</w:t>
            </w:r>
          </w:p>
          <w:p>
            <w:pPr>
              <w:widowControl/>
              <w:ind w:left="-173" w:leftChars="-83" w:right="-134" w:rightChars="-64" w:hanging="1"/>
              <w:jc w:val="center"/>
              <w:rPr>
                <w:rFonts w:ascii="黑体" w:hAnsi="黑体" w:eastAsia="黑体"/>
              </w:rPr>
            </w:pPr>
            <w:r>
              <w:rPr>
                <w:rFonts w:ascii="黑体" w:hAnsi="黑体" w:eastAsia="黑体"/>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ascii="黑体" w:hAnsi="黑体" w:eastAsia="黑体"/>
              </w:rPr>
            </w:pPr>
            <w:r>
              <w:rPr>
                <w:rFonts w:ascii="黑体" w:hAnsi="黑体" w:eastAsia="黑体"/>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ascii="黑体" w:hAnsi="黑体" w:eastAsia="黑体"/>
              </w:rPr>
            </w:pPr>
            <w:r>
              <w:rPr>
                <w:rFonts w:ascii="黑体" w:hAnsi="黑体" w:eastAsia="黑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hint="eastAsia" w:ascii="Times New Roman" w:hAnsi="Times New Roman" w:eastAsia="黑体"/>
                <w:color w:val="auto"/>
                <w:sz w:val="20"/>
                <w:szCs w:val="20"/>
                <w:lang w:val="en-US" w:eastAsia="zh-CN" w:bidi="ar"/>
              </w:rPr>
              <w:t>2</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 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hint="eastAsia" w:ascii="Times New Roman" w:hAnsi="Times New Roman" w:eastAsia="黑体"/>
                <w:color w:val="auto"/>
                <w:sz w:val="20"/>
                <w:szCs w:val="20"/>
                <w:lang w:val="en-US" w:eastAsia="zh-CN" w:bidi="ar"/>
              </w:rPr>
              <w:t>1</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hint="eastAsia" w:ascii="Times New Roman" w:hAnsi="Times New Roman" w:eastAsia="黑体"/>
                <w:color w:val="auto"/>
                <w:sz w:val="20"/>
                <w:szCs w:val="20"/>
                <w:lang w:val="en-US" w:eastAsia="zh-CN" w:bidi="ar"/>
              </w:rPr>
              <w:t>3</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hint="eastAsia" w:ascii="Times New Roman" w:hAnsi="Times New Roman" w:eastAsia="黑体"/>
                <w:color w:val="auto"/>
                <w:sz w:val="20"/>
                <w:szCs w:val="20"/>
                <w:lang w:val="en-US" w:eastAsia="zh-CN" w:bidi="ar"/>
              </w:rPr>
              <w:t>3</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0 </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hint="eastAsia" w:ascii="Times New Roman" w:hAnsi="Times New Roman" w:eastAsia="黑体"/>
                <w:color w:val="auto"/>
                <w:sz w:val="20"/>
                <w:szCs w:val="20"/>
                <w:lang w:val="en-US" w:eastAsia="zh-CN" w:bidi="ar"/>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hint="eastAsia" w:ascii="Times New Roman" w:hAnsi="Times New Roman" w:eastAsia="黑体"/>
                <w:color w:val="auto"/>
                <w:sz w:val="20"/>
                <w:szCs w:val="20"/>
                <w:lang w:val="en-US" w:eastAsia="zh-CN" w:bidi="ar"/>
              </w:rPr>
              <w:t>3</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 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 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before="100" w:beforeAutospacing="1" w:line="320" w:lineRule="exact"/>
              <w:jc w:val="center"/>
              <w:rPr>
                <w:rFonts w:ascii="Times New Roman" w:hAnsi="Times New Roman"/>
              </w:rPr>
            </w:pPr>
            <w:r>
              <w:rPr>
                <w:rFonts w:ascii="Times New Roman" w:hAnsi="Times New Roman" w:eastAsia="黑体"/>
                <w:color w:val="auto"/>
                <w:sz w:val="20"/>
                <w:szCs w:val="20"/>
                <w:lang w:bidi="ar"/>
              </w:rPr>
              <w:t> 0</w:t>
            </w:r>
          </w:p>
        </w:tc>
      </w:tr>
    </w:tbl>
    <w:p>
      <w:pPr>
        <w:spacing w:line="600" w:lineRule="exact"/>
        <w:ind w:firstLine="640" w:firstLineChars="200"/>
        <w:rPr>
          <w:rFonts w:hint="eastAsia" w:ascii="CESI黑体-GB13000" w:hAnsi="CESI黑体-GB13000" w:eastAsia="CESI黑体-GB13000" w:cs="CESI黑体-GB13000"/>
          <w:b w:val="0"/>
          <w:bCs w:val="0"/>
          <w:sz w:val="32"/>
          <w:szCs w:val="32"/>
        </w:rPr>
      </w:pPr>
      <w:r>
        <w:rPr>
          <w:rFonts w:hint="eastAsia" w:ascii="CESI黑体-GB13000" w:hAnsi="CESI黑体-GB13000" w:eastAsia="CESI黑体-GB13000" w:cs="CESI黑体-GB13000"/>
          <w:b w:val="0"/>
          <w:bCs w:val="0"/>
          <w:sz w:val="32"/>
          <w:szCs w:val="32"/>
          <w:lang w:eastAsia="zh-CN"/>
        </w:rPr>
        <w:t>五、</w:t>
      </w:r>
      <w:r>
        <w:rPr>
          <w:rFonts w:hint="eastAsia" w:ascii="CESI黑体-GB13000" w:hAnsi="CESI黑体-GB13000" w:eastAsia="CESI黑体-GB13000" w:cs="CESI黑体-GB13000"/>
          <w:b w:val="0"/>
          <w:bCs w:val="0"/>
          <w:sz w:val="32"/>
          <w:szCs w:val="32"/>
        </w:rPr>
        <w:t>存在的主要问题及改进情况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eastAsia="仿宋_GB2312"/>
          <w:sz w:val="32"/>
          <w:szCs w:val="32"/>
        </w:rPr>
      </w:pPr>
      <w:r>
        <w:rPr>
          <w:rFonts w:hint="eastAsia" w:ascii="仿宋_GB2312" w:eastAsia="仿宋_GB2312"/>
          <w:sz w:val="32"/>
          <w:szCs w:val="32"/>
          <w:lang w:val="en-US" w:eastAsia="zh-CN"/>
        </w:rPr>
        <w:t>工作</w:t>
      </w:r>
      <w:r>
        <w:rPr>
          <w:rFonts w:hint="eastAsia" w:ascii="仿宋_GB2312"/>
          <w:sz w:val="32"/>
          <w:szCs w:val="32"/>
          <w:lang w:val="en-US" w:eastAsia="zh-CN"/>
        </w:rPr>
        <w:t>中</w:t>
      </w:r>
      <w:r>
        <w:rPr>
          <w:rFonts w:hint="eastAsia" w:ascii="仿宋_GB2312" w:eastAsia="仿宋_GB2312"/>
          <w:sz w:val="32"/>
          <w:szCs w:val="32"/>
        </w:rPr>
        <w:t>虽然取得了一些成效，但</w:t>
      </w:r>
      <w:r>
        <w:rPr>
          <w:rFonts w:hint="eastAsia" w:ascii="仿宋_GB2312" w:eastAsia="仿宋_GB2312"/>
          <w:sz w:val="32"/>
          <w:szCs w:val="32"/>
          <w:lang w:val="en-US" w:eastAsia="zh-CN"/>
        </w:rPr>
        <w:t>对照上级要求，对照先进地区、先进单位</w:t>
      </w:r>
      <w:r>
        <w:rPr>
          <w:rFonts w:hint="eastAsia" w:ascii="仿宋_GB2312"/>
          <w:sz w:val="32"/>
          <w:szCs w:val="32"/>
          <w:lang w:val="en-US" w:eastAsia="zh-CN"/>
        </w:rPr>
        <w:t>，</w:t>
      </w:r>
      <w:r>
        <w:rPr>
          <w:rFonts w:hint="eastAsia" w:ascii="仿宋_GB2312" w:eastAsia="仿宋_GB2312"/>
          <w:sz w:val="32"/>
          <w:szCs w:val="32"/>
          <w:lang w:val="en-US" w:eastAsia="zh-CN"/>
        </w:rPr>
        <w:t>还存在</w:t>
      </w:r>
      <w:r>
        <w:rPr>
          <w:rFonts w:hint="eastAsia" w:ascii="仿宋_GB2312"/>
          <w:sz w:val="32"/>
          <w:szCs w:val="32"/>
          <w:lang w:val="en-US" w:eastAsia="zh-CN"/>
        </w:rPr>
        <w:t>一些</w:t>
      </w:r>
      <w:r>
        <w:rPr>
          <w:rFonts w:hint="eastAsia" w:ascii="仿宋_GB2312" w:eastAsia="仿宋_GB2312"/>
          <w:sz w:val="32"/>
          <w:szCs w:val="32"/>
          <w:lang w:val="en-US" w:eastAsia="zh-CN"/>
        </w:rPr>
        <w:t>差距与不足</w:t>
      </w:r>
      <w:r>
        <w:rPr>
          <w:rFonts w:hint="eastAsia" w:ascii="仿宋_GB2312" w:eastAsia="仿宋_GB2312"/>
          <w:sz w:val="32"/>
          <w:szCs w:val="32"/>
        </w:rPr>
        <w:t>。主要表现在：</w:t>
      </w:r>
      <w:r>
        <w:rPr>
          <w:rFonts w:hint="eastAsia" w:ascii="仿宋_GB2312"/>
          <w:b/>
          <w:bCs/>
          <w:sz w:val="32"/>
          <w:szCs w:val="32"/>
          <w:lang w:eastAsia="zh-CN"/>
        </w:rPr>
        <w:t>一是</w:t>
      </w:r>
      <w:r>
        <w:rPr>
          <w:rFonts w:hint="eastAsia" w:ascii="仿宋_GB2312" w:eastAsia="仿宋_GB2312"/>
          <w:sz w:val="32"/>
          <w:szCs w:val="32"/>
          <w:lang w:val="en-US" w:eastAsia="zh-CN"/>
        </w:rPr>
        <w:t>政务公开标准化、规范化、信息化水平</w:t>
      </w:r>
      <w:r>
        <w:rPr>
          <w:rFonts w:hint="eastAsia" w:ascii="仿宋_GB2312"/>
          <w:sz w:val="32"/>
          <w:szCs w:val="32"/>
          <w:lang w:val="en-US" w:eastAsia="zh-CN"/>
        </w:rPr>
        <w:t>还需提升</w:t>
      </w:r>
      <w:r>
        <w:rPr>
          <w:rFonts w:hint="eastAsia" w:ascii="仿宋_GB2312" w:eastAsia="仿宋_GB2312"/>
          <w:sz w:val="32"/>
          <w:szCs w:val="32"/>
          <w:lang w:val="en-US" w:eastAsia="zh-CN"/>
        </w:rPr>
        <w:t>，以公开促落实、优服务、强监管作用</w:t>
      </w:r>
      <w:r>
        <w:rPr>
          <w:rFonts w:hint="eastAsia" w:ascii="仿宋_GB2312"/>
          <w:sz w:val="32"/>
          <w:szCs w:val="32"/>
          <w:lang w:val="en-US" w:eastAsia="zh-CN"/>
        </w:rPr>
        <w:t>还需加强；</w:t>
      </w:r>
      <w:r>
        <w:rPr>
          <w:rFonts w:hint="eastAsia" w:ascii="仿宋_GB2312"/>
          <w:b/>
          <w:bCs/>
          <w:sz w:val="32"/>
          <w:szCs w:val="32"/>
          <w:lang w:val="en-US" w:eastAsia="zh-CN"/>
        </w:rPr>
        <w:t>二是</w:t>
      </w:r>
      <w:r>
        <w:rPr>
          <w:rFonts w:hint="eastAsia" w:ascii="仿宋_GB2312" w:eastAsia="仿宋_GB2312"/>
          <w:sz w:val="32"/>
          <w:szCs w:val="32"/>
          <w:lang w:val="en-US" w:eastAsia="zh-CN"/>
        </w:rPr>
        <w:t>对政府信息公开的认识存在不足，工作缺少主动性与创新性</w:t>
      </w:r>
      <w:r>
        <w:rPr>
          <w:rFonts w:hint="eastAsia" w:ascii="仿宋_GB2312"/>
          <w:sz w:val="32"/>
          <w:szCs w:val="32"/>
          <w:lang w:val="en-US" w:eastAsia="zh-CN"/>
        </w:rPr>
        <w:t>，</w:t>
      </w:r>
      <w:r>
        <w:rPr>
          <w:rFonts w:hint="eastAsia" w:ascii="仿宋_GB2312" w:eastAsia="仿宋_GB2312"/>
          <w:sz w:val="32"/>
          <w:szCs w:val="32"/>
          <w:lang w:val="en-US" w:eastAsia="zh-CN"/>
        </w:rPr>
        <w:t>工作人员在政府信息公开平台的使用以及对相关政策规定的把握理解方面还需要提升；</w:t>
      </w:r>
      <w:r>
        <w:rPr>
          <w:rFonts w:hint="eastAsia" w:ascii="仿宋_GB2312"/>
          <w:b/>
          <w:bCs/>
          <w:sz w:val="32"/>
          <w:szCs w:val="32"/>
          <w:lang w:val="en-US" w:eastAsia="zh-CN"/>
        </w:rPr>
        <w:t>三是</w:t>
      </w:r>
      <w:r>
        <w:rPr>
          <w:rFonts w:hint="eastAsia" w:ascii="仿宋_GB2312" w:eastAsia="仿宋_GB2312"/>
          <w:sz w:val="32"/>
          <w:szCs w:val="32"/>
          <w:lang w:val="en-US" w:eastAsia="zh-CN"/>
        </w:rPr>
        <w:t>政策解读缺少灵活性，解读形式单一、重点不突出、用语不鲜活</w:t>
      </w:r>
      <w:r>
        <w:rPr>
          <w:rFonts w:hint="eastAsia" w:ascii="仿宋_GB2312" w:eastAsia="仿宋_GB2312"/>
          <w:sz w:val="32"/>
          <w:szCs w:val="32"/>
        </w:rPr>
        <w:t>。</w:t>
      </w:r>
    </w:p>
    <w:p>
      <w:pPr>
        <w:spacing w:line="600" w:lineRule="exact"/>
        <w:ind w:firstLine="640" w:firstLineChars="200"/>
        <w:rPr>
          <w:rFonts w:hint="eastAsia" w:ascii="仿宋_GB2312" w:eastAsia="仿宋_GB2312"/>
          <w:sz w:val="32"/>
          <w:szCs w:val="32"/>
        </w:rPr>
      </w:pPr>
      <w:r>
        <w:rPr>
          <w:rFonts w:hint="eastAsia" w:ascii="CESI楷体-GB13000" w:hAnsi="CESI楷体-GB13000" w:eastAsia="CESI楷体-GB13000" w:cs="CESI楷体-GB13000"/>
          <w:b w:val="0"/>
          <w:bCs w:val="0"/>
          <w:sz w:val="32"/>
          <w:szCs w:val="32"/>
          <w:lang w:val="en-US" w:eastAsia="zh-CN"/>
        </w:rPr>
        <w:t>改进措施：</w:t>
      </w:r>
      <w:r>
        <w:rPr>
          <w:rFonts w:hint="eastAsia" w:ascii="仿宋_GB2312" w:eastAsia="仿宋_GB2312"/>
          <w:b/>
          <w:bCs/>
          <w:sz w:val="32"/>
          <w:szCs w:val="32"/>
          <w:lang w:val="en-US" w:eastAsia="zh-CN"/>
        </w:rPr>
        <w:t>一是加强组织领导。</w:t>
      </w:r>
      <w:r>
        <w:rPr>
          <w:rFonts w:hint="eastAsia" w:ascii="仿宋_GB2312" w:eastAsia="仿宋_GB2312"/>
          <w:sz w:val="32"/>
          <w:szCs w:val="32"/>
          <w:highlight w:val="none"/>
          <w:lang w:val="en-US" w:eastAsia="zh-CN"/>
        </w:rPr>
        <w:t>将全市卫生健康系统政务公开工作纳入“一把手”工程，</w:t>
      </w:r>
      <w:r>
        <w:rPr>
          <w:rFonts w:hint="eastAsia" w:ascii="仿宋_GB2312"/>
          <w:sz w:val="32"/>
          <w:szCs w:val="32"/>
          <w:highlight w:val="none"/>
          <w:lang w:val="en-US" w:eastAsia="zh-CN"/>
        </w:rPr>
        <w:t>发挥各级</w:t>
      </w:r>
      <w:r>
        <w:rPr>
          <w:rFonts w:hint="eastAsia" w:ascii="仿宋_GB2312" w:eastAsia="仿宋_GB2312"/>
          <w:sz w:val="32"/>
          <w:szCs w:val="32"/>
          <w:highlight w:val="none"/>
          <w:lang w:val="en-US" w:eastAsia="zh-CN"/>
        </w:rPr>
        <w:t>政务公开领导小组</w:t>
      </w:r>
      <w:r>
        <w:rPr>
          <w:rFonts w:hint="eastAsia" w:ascii="仿宋_GB2312"/>
          <w:sz w:val="32"/>
          <w:szCs w:val="32"/>
          <w:highlight w:val="none"/>
          <w:lang w:val="en-US" w:eastAsia="zh-CN"/>
        </w:rPr>
        <w:t>作用</w:t>
      </w:r>
      <w:r>
        <w:rPr>
          <w:rFonts w:hint="eastAsia" w:ascii="仿宋_GB2312" w:eastAsia="仿宋_GB2312"/>
          <w:sz w:val="32"/>
          <w:szCs w:val="32"/>
          <w:highlight w:val="none"/>
          <w:lang w:val="en-US" w:eastAsia="zh-CN"/>
        </w:rPr>
        <w:t>，</w:t>
      </w:r>
      <w:r>
        <w:rPr>
          <w:rFonts w:hint="eastAsia" w:ascii="仿宋_GB2312" w:eastAsia="仿宋_GB2312"/>
          <w:sz w:val="32"/>
          <w:szCs w:val="32"/>
          <w:lang w:val="en-US" w:eastAsia="zh-CN"/>
        </w:rPr>
        <w:t>健全</w:t>
      </w:r>
      <w:r>
        <w:rPr>
          <w:rFonts w:hint="eastAsia" w:ascii="仿宋_GB2312"/>
          <w:sz w:val="32"/>
          <w:szCs w:val="32"/>
          <w:lang w:val="en-US" w:eastAsia="zh-CN"/>
        </w:rPr>
        <w:t>完善</w:t>
      </w:r>
      <w:r>
        <w:rPr>
          <w:rFonts w:hint="eastAsia" w:ascii="仿宋_GB2312" w:eastAsia="仿宋_GB2312"/>
          <w:sz w:val="32"/>
          <w:szCs w:val="32"/>
          <w:lang w:val="en-US" w:eastAsia="zh-CN"/>
        </w:rPr>
        <w:t>信息公开工作机制</w:t>
      </w:r>
      <w:r>
        <w:rPr>
          <w:rFonts w:hint="eastAsia" w:ascii="仿宋_GB2312"/>
          <w:sz w:val="32"/>
          <w:szCs w:val="32"/>
          <w:lang w:val="en-US" w:eastAsia="zh-CN"/>
        </w:rPr>
        <w:t>，进一步提高</w:t>
      </w:r>
      <w:r>
        <w:rPr>
          <w:rFonts w:hint="eastAsia" w:ascii="仿宋_GB2312" w:eastAsia="仿宋_GB2312"/>
          <w:sz w:val="32"/>
          <w:szCs w:val="32"/>
          <w:lang w:val="en-US" w:eastAsia="zh-CN"/>
        </w:rPr>
        <w:t>思想认识，加强自身建设，提升服务能力，</w:t>
      </w:r>
      <w:r>
        <w:rPr>
          <w:rFonts w:hint="eastAsia" w:ascii="仿宋_GB2312"/>
          <w:sz w:val="32"/>
          <w:szCs w:val="32"/>
          <w:lang w:val="en-US" w:eastAsia="zh-CN"/>
        </w:rPr>
        <w:t>从</w:t>
      </w:r>
      <w:r>
        <w:rPr>
          <w:rFonts w:hint="eastAsia" w:ascii="仿宋_GB2312" w:eastAsia="仿宋_GB2312"/>
          <w:sz w:val="32"/>
          <w:szCs w:val="32"/>
          <w:lang w:val="en-US" w:eastAsia="zh-CN"/>
        </w:rPr>
        <w:t>提高群众就医获得感和满意度的高度出发，变被动公开为主动公</w:t>
      </w:r>
      <w:r>
        <w:rPr>
          <w:rFonts w:hint="eastAsia" w:ascii="仿宋_GB2312" w:eastAsia="仿宋_GB2312"/>
          <w:sz w:val="32"/>
          <w:szCs w:val="32"/>
          <w:highlight w:val="none"/>
          <w:lang w:val="en-US" w:eastAsia="zh-CN"/>
        </w:rPr>
        <w:t>开</w:t>
      </w:r>
      <w:r>
        <w:rPr>
          <w:rFonts w:hint="eastAsia" w:ascii="仿宋_GB2312"/>
          <w:sz w:val="32"/>
          <w:szCs w:val="32"/>
          <w:highlight w:val="none"/>
          <w:lang w:val="en-US" w:eastAsia="zh-CN"/>
        </w:rPr>
        <w:t>。</w:t>
      </w:r>
      <w:r>
        <w:rPr>
          <w:rFonts w:hint="eastAsia" w:ascii="仿宋_GB2312" w:eastAsia="仿宋_GB2312"/>
          <w:b/>
          <w:bCs/>
          <w:sz w:val="32"/>
          <w:szCs w:val="32"/>
          <w:lang w:val="en-US" w:eastAsia="zh-CN"/>
        </w:rPr>
        <w:t>二是强化工作保障。</w:t>
      </w:r>
      <w:r>
        <w:rPr>
          <w:rFonts w:hint="eastAsia" w:ascii="仿宋_GB2312" w:eastAsia="仿宋_GB2312"/>
          <w:sz w:val="32"/>
          <w:szCs w:val="32"/>
          <w:lang w:val="en-US" w:eastAsia="zh-CN"/>
        </w:rPr>
        <w:t>加强队伍建设，委机关安排</w:t>
      </w:r>
      <w:r>
        <w:rPr>
          <w:rFonts w:hint="eastAsia" w:ascii="仿宋_GB2312"/>
          <w:sz w:val="32"/>
          <w:szCs w:val="32"/>
          <w:lang w:val="en-US" w:eastAsia="zh-CN"/>
        </w:rPr>
        <w:t>1</w:t>
      </w:r>
      <w:r>
        <w:rPr>
          <w:rFonts w:hint="eastAsia" w:ascii="仿宋_GB2312" w:eastAsia="仿宋_GB2312"/>
          <w:sz w:val="32"/>
          <w:szCs w:val="32"/>
          <w:lang w:val="en-US" w:eastAsia="zh-CN"/>
        </w:rPr>
        <w:t>名科级干部</w:t>
      </w:r>
      <w:r>
        <w:rPr>
          <w:rFonts w:hint="eastAsia" w:ascii="仿宋_GB2312"/>
          <w:sz w:val="32"/>
          <w:szCs w:val="32"/>
          <w:lang w:val="en-US" w:eastAsia="zh-CN"/>
        </w:rPr>
        <w:t>2</w:t>
      </w:r>
      <w:r>
        <w:rPr>
          <w:rFonts w:hint="eastAsia" w:ascii="仿宋_GB2312" w:eastAsia="仿宋_GB2312"/>
          <w:sz w:val="32"/>
          <w:szCs w:val="32"/>
          <w:lang w:val="en-US" w:eastAsia="zh-CN"/>
        </w:rPr>
        <w:t>名工作人员</w:t>
      </w:r>
      <w:r>
        <w:rPr>
          <w:rFonts w:hint="eastAsia" w:ascii="仿宋_GB2312"/>
          <w:sz w:val="32"/>
          <w:szCs w:val="32"/>
          <w:lang w:val="en-US" w:eastAsia="zh-CN"/>
        </w:rPr>
        <w:t>专门</w:t>
      </w:r>
      <w:r>
        <w:rPr>
          <w:rFonts w:hint="eastAsia" w:ascii="仿宋_GB2312" w:eastAsia="仿宋_GB2312"/>
          <w:sz w:val="32"/>
          <w:szCs w:val="32"/>
          <w:lang w:val="en-US" w:eastAsia="zh-CN"/>
        </w:rPr>
        <w:t>负责，</w:t>
      </w:r>
      <w:r>
        <w:rPr>
          <w:rFonts w:hint="eastAsia" w:ascii="仿宋_GB2312"/>
          <w:sz w:val="32"/>
          <w:szCs w:val="32"/>
          <w:lang w:val="en-US" w:eastAsia="zh-CN"/>
        </w:rPr>
        <w:t>委</w:t>
      </w:r>
      <w:r>
        <w:rPr>
          <w:rFonts w:hint="eastAsia" w:ascii="仿宋_GB2312" w:eastAsia="仿宋_GB2312"/>
          <w:sz w:val="32"/>
          <w:szCs w:val="32"/>
          <w:lang w:val="en-US" w:eastAsia="zh-CN"/>
        </w:rPr>
        <w:t>属各单位按照AB角工作机制，实行</w:t>
      </w:r>
      <w:r>
        <w:rPr>
          <w:rFonts w:hint="eastAsia" w:ascii="仿宋_GB2312"/>
          <w:sz w:val="32"/>
          <w:szCs w:val="32"/>
          <w:lang w:val="en-US" w:eastAsia="zh-CN"/>
        </w:rPr>
        <w:t>2</w:t>
      </w:r>
      <w:r>
        <w:rPr>
          <w:rFonts w:hint="eastAsia" w:ascii="仿宋_GB2312" w:eastAsia="仿宋_GB2312"/>
          <w:sz w:val="32"/>
          <w:szCs w:val="32"/>
          <w:lang w:val="en-US" w:eastAsia="zh-CN"/>
        </w:rPr>
        <w:t>名工作人员一主一副推动工作，确保政务公开工作的延续性和稳定性；建立常态化培训机制，坚持每季度组织一次政务公开业务培训，邀请专家针对卫生健康</w:t>
      </w:r>
      <w:r>
        <w:rPr>
          <w:rFonts w:hint="eastAsia" w:ascii="仿宋_GB2312"/>
          <w:sz w:val="32"/>
          <w:szCs w:val="32"/>
          <w:lang w:val="en-US" w:eastAsia="zh-CN"/>
        </w:rPr>
        <w:t>系统</w:t>
      </w:r>
      <w:r>
        <w:rPr>
          <w:rFonts w:hint="eastAsia" w:ascii="仿宋_GB2312" w:eastAsia="仿宋_GB2312"/>
          <w:sz w:val="32"/>
          <w:szCs w:val="32"/>
          <w:lang w:val="en-US" w:eastAsia="zh-CN"/>
        </w:rPr>
        <w:t>信息公开目录进行逐条梳理、研究、分析，切实掌握信息公开流程和内容，不断增强信息公开能力和水平。</w:t>
      </w:r>
      <w:r>
        <w:rPr>
          <w:rFonts w:hint="eastAsia" w:ascii="仿宋_GB2312" w:eastAsia="仿宋_GB2312"/>
          <w:b/>
          <w:bCs/>
          <w:sz w:val="32"/>
          <w:szCs w:val="32"/>
          <w:lang w:val="en-US" w:eastAsia="zh-CN"/>
        </w:rPr>
        <w:t>三是提高工作实效。</w:t>
      </w:r>
      <w:r>
        <w:rPr>
          <w:rFonts w:hint="eastAsia" w:ascii="仿宋_GB2312" w:eastAsia="仿宋_GB2312"/>
          <w:sz w:val="32"/>
          <w:szCs w:val="32"/>
          <w:lang w:val="en-US" w:eastAsia="zh-CN"/>
        </w:rPr>
        <w:t>修定市直卫生健康系统信息主动公开基本目录，明确事项类别、事项名称、公开时限、公开方式、对口科室，</w:t>
      </w:r>
      <w:r>
        <w:rPr>
          <w:rFonts w:hint="eastAsia" w:ascii="仿宋_GB2312"/>
          <w:sz w:val="32"/>
          <w:szCs w:val="32"/>
          <w:lang w:val="en-US" w:eastAsia="zh-CN"/>
        </w:rPr>
        <w:t>细化</w:t>
      </w:r>
      <w:r>
        <w:rPr>
          <w:rFonts w:hint="eastAsia" w:ascii="仿宋_GB2312" w:eastAsia="仿宋_GB2312"/>
          <w:sz w:val="32"/>
          <w:szCs w:val="32"/>
          <w:lang w:val="en-US" w:eastAsia="zh-CN"/>
        </w:rPr>
        <w:t>卫生健康公共企事业单位信息公开内容及发布程序，做到责任清、情况明；在政策解读方面，</w:t>
      </w:r>
      <w:r>
        <w:rPr>
          <w:rFonts w:hint="eastAsia" w:ascii="仿宋_GB2312"/>
          <w:sz w:val="32"/>
          <w:szCs w:val="32"/>
          <w:lang w:val="en-US" w:eastAsia="zh-CN"/>
        </w:rPr>
        <w:t>坚持</w:t>
      </w:r>
      <w:r>
        <w:rPr>
          <w:rFonts w:hint="eastAsia" w:ascii="仿宋_GB2312" w:eastAsia="仿宋_GB2312"/>
          <w:sz w:val="32"/>
          <w:szCs w:val="32"/>
          <w:lang w:val="en-US" w:eastAsia="zh-CN"/>
        </w:rPr>
        <w:t>政策文件与解读</w:t>
      </w:r>
      <w:r>
        <w:rPr>
          <w:rFonts w:hint="eastAsia" w:ascii="仿宋_GB2312"/>
          <w:sz w:val="32"/>
          <w:szCs w:val="32"/>
          <w:lang w:val="en-US" w:eastAsia="zh-CN"/>
        </w:rPr>
        <w:t>方案</w:t>
      </w:r>
      <w:r>
        <w:rPr>
          <w:rFonts w:hint="eastAsia" w:ascii="仿宋_GB2312" w:eastAsia="仿宋_GB2312"/>
          <w:sz w:val="32"/>
          <w:szCs w:val="32"/>
          <w:lang w:val="en-US" w:eastAsia="zh-CN"/>
        </w:rPr>
        <w:t>同步组织、同步审批、同步发布的原则，解读</w:t>
      </w:r>
      <w:r>
        <w:rPr>
          <w:rFonts w:hint="eastAsia" w:ascii="仿宋_GB2312"/>
          <w:sz w:val="32"/>
          <w:szCs w:val="32"/>
          <w:lang w:val="en-US" w:eastAsia="zh-CN"/>
        </w:rPr>
        <w:t>材料</w:t>
      </w:r>
      <w:r>
        <w:rPr>
          <w:rFonts w:hint="eastAsia" w:ascii="仿宋_GB2312" w:eastAsia="仿宋_GB2312"/>
          <w:sz w:val="32"/>
          <w:szCs w:val="32"/>
          <w:lang w:val="en-US" w:eastAsia="zh-CN"/>
        </w:rPr>
        <w:t>立足群众角度，明确重点，回应社会关切，综合运用简明问答、媒体专访、新闻发布会、专家解读等多种形式，确保通俗易懂，准确传递政策意图，提高群众的知晓度。</w:t>
      </w:r>
    </w:p>
    <w:p>
      <w:pPr>
        <w:spacing w:line="600" w:lineRule="exact"/>
        <w:ind w:firstLine="640" w:firstLineChars="200"/>
        <w:rPr>
          <w:rFonts w:hint="eastAsia" w:ascii="CESI黑体-GB13000" w:hAnsi="CESI黑体-GB13000" w:eastAsia="CESI黑体-GB13000" w:cs="CESI黑体-GB13000"/>
          <w:b w:val="0"/>
          <w:bCs w:val="0"/>
          <w:sz w:val="32"/>
          <w:szCs w:val="32"/>
        </w:rPr>
      </w:pPr>
      <w:r>
        <w:rPr>
          <w:rFonts w:hint="eastAsia" w:ascii="CESI黑体-GB13000" w:hAnsi="CESI黑体-GB13000" w:eastAsia="CESI黑体-GB13000" w:cs="CESI黑体-GB13000"/>
          <w:b w:val="0"/>
          <w:bCs w:val="0"/>
          <w:sz w:val="32"/>
          <w:szCs w:val="32"/>
          <w:lang w:eastAsia="zh-CN"/>
        </w:rPr>
        <w:t>六、</w:t>
      </w:r>
      <w:r>
        <w:rPr>
          <w:rFonts w:hint="eastAsia" w:ascii="CESI黑体-GB13000" w:hAnsi="CESI黑体-GB13000" w:eastAsia="CESI黑体-GB13000" w:cs="CESI黑体-GB13000"/>
          <w:b w:val="0"/>
          <w:bCs w:val="0"/>
          <w:sz w:val="32"/>
          <w:szCs w:val="32"/>
        </w:rPr>
        <w:t>其他需要报告的事项</w:t>
      </w:r>
    </w:p>
    <w:p>
      <w:pPr>
        <w:spacing w:line="600" w:lineRule="exact"/>
        <w:ind w:firstLine="640" w:firstLineChars="200"/>
        <w:rPr>
          <w:rFonts w:hint="default" w:ascii="仿宋_GB2312" w:eastAsia="仿宋_GB2312"/>
          <w:sz w:val="32"/>
          <w:szCs w:val="32"/>
          <w:lang w:val="en-US"/>
        </w:rPr>
      </w:pPr>
      <w:r>
        <w:rPr>
          <w:rFonts w:hint="eastAsia" w:ascii="CESI楷体-GB13000" w:hAnsi="CESI楷体-GB13000" w:eastAsia="CESI楷体-GB13000" w:cs="CESI楷体-GB13000"/>
          <w:b w:val="0"/>
          <w:bCs w:val="0"/>
          <w:sz w:val="32"/>
          <w:szCs w:val="32"/>
          <w:lang w:eastAsia="zh-CN"/>
        </w:rPr>
        <w:t>（一）</w:t>
      </w:r>
      <w:r>
        <w:rPr>
          <w:rFonts w:hint="eastAsia" w:ascii="CESI楷体-GB13000" w:hAnsi="CESI楷体-GB13000" w:eastAsia="CESI楷体-GB13000" w:cs="CESI楷体-GB13000"/>
          <w:b w:val="0"/>
          <w:bCs w:val="0"/>
          <w:sz w:val="32"/>
          <w:szCs w:val="32"/>
        </w:rPr>
        <w:t>人大代表建议和政协提案办理情况</w:t>
      </w:r>
      <w:r>
        <w:rPr>
          <w:rFonts w:hint="eastAsia" w:ascii="CESI楷体-GB13000" w:hAnsi="CESI楷体-GB13000" w:eastAsia="CESI楷体-GB13000" w:cs="CESI楷体-GB13000"/>
          <w:b w:val="0"/>
          <w:bCs w:val="0"/>
          <w:sz w:val="32"/>
          <w:szCs w:val="32"/>
          <w:lang w:eastAsia="zh-CN"/>
        </w:rPr>
        <w:t>。</w:t>
      </w:r>
      <w:r>
        <w:rPr>
          <w:rFonts w:hint="eastAsia" w:ascii="仿宋_GB2312" w:eastAsia="仿宋_GB2312"/>
          <w:sz w:val="32"/>
          <w:szCs w:val="32"/>
          <w:lang w:val="en-US" w:eastAsia="zh-CN"/>
        </w:rPr>
        <w:t>2023年，聊城市卫生健康委共承办聊城市第十八届人大三次会议代表建议15件，其中</w:t>
      </w:r>
      <w:r>
        <w:rPr>
          <w:rFonts w:hint="default" w:ascii="仿宋_GB2312" w:eastAsia="仿宋_GB2312"/>
          <w:sz w:val="32"/>
          <w:szCs w:val="32"/>
          <w:lang w:val="en-US" w:eastAsia="zh-CN"/>
        </w:rPr>
        <w:t>主办12件、协办3件、无分办事件</w:t>
      </w:r>
      <w:r>
        <w:rPr>
          <w:rFonts w:hint="eastAsia" w:ascii="仿宋_GB2312" w:eastAsia="仿宋_GB2312"/>
          <w:sz w:val="32"/>
          <w:szCs w:val="32"/>
          <w:lang w:val="en-US" w:eastAsia="zh-CN"/>
        </w:rPr>
        <w:t>，办复率100%；</w:t>
      </w:r>
      <w:r>
        <w:rPr>
          <w:rFonts w:hint="eastAsia" w:ascii="仿宋_GB2312"/>
          <w:sz w:val="32"/>
          <w:szCs w:val="32"/>
          <w:lang w:val="en-US" w:eastAsia="zh-CN"/>
        </w:rPr>
        <w:t>共</w:t>
      </w:r>
      <w:r>
        <w:rPr>
          <w:rFonts w:hint="eastAsia" w:ascii="仿宋_GB2312" w:eastAsia="仿宋_GB2312"/>
          <w:sz w:val="32"/>
          <w:szCs w:val="32"/>
          <w:lang w:val="en-US" w:eastAsia="zh-CN"/>
        </w:rPr>
        <w:t>承办</w:t>
      </w:r>
      <w:r>
        <w:rPr>
          <w:rFonts w:hint="default" w:ascii="仿宋_GB2312" w:eastAsia="仿宋_GB2312"/>
          <w:sz w:val="32"/>
          <w:szCs w:val="32"/>
          <w:lang w:val="en-US" w:eastAsia="zh-CN"/>
        </w:rPr>
        <w:t>聊城市第十四届政协二次会议委员提案24件，全部为主办件，办复率100%。</w:t>
      </w:r>
    </w:p>
    <w:p>
      <w:pPr>
        <w:spacing w:line="600" w:lineRule="exact"/>
        <w:ind w:firstLine="640" w:firstLineChars="200"/>
        <w:rPr>
          <w:rFonts w:hint="eastAsia" w:ascii="仿宋_GB2312" w:eastAsia="仿宋_GB2312"/>
          <w:sz w:val="32"/>
          <w:szCs w:val="32"/>
        </w:rPr>
      </w:pPr>
      <w:r>
        <w:rPr>
          <w:rFonts w:hint="eastAsia" w:ascii="CESI楷体-GB13000" w:hAnsi="CESI楷体-GB13000" w:eastAsia="CESI楷体-GB13000" w:cs="CESI楷体-GB13000"/>
          <w:b w:val="0"/>
          <w:bCs w:val="0"/>
          <w:sz w:val="32"/>
          <w:szCs w:val="32"/>
          <w:lang w:val="en-US" w:eastAsia="zh-CN"/>
        </w:rPr>
        <w:t>（二）</w:t>
      </w:r>
      <w:r>
        <w:rPr>
          <w:rFonts w:hint="eastAsia" w:ascii="CESI楷体-GB13000" w:hAnsi="CESI楷体-GB13000" w:eastAsia="CESI楷体-GB13000" w:cs="CESI楷体-GB13000"/>
          <w:b w:val="0"/>
          <w:bCs w:val="0"/>
          <w:sz w:val="32"/>
          <w:szCs w:val="32"/>
        </w:rPr>
        <w:t>收取政府信息公开信息处理费情况</w:t>
      </w:r>
      <w:r>
        <w:rPr>
          <w:rFonts w:hint="eastAsia" w:ascii="CESI楷体-GB13000" w:hAnsi="CESI楷体-GB13000" w:eastAsia="CESI楷体-GB13000" w:cs="CESI楷体-GB13000"/>
          <w:b w:val="0"/>
          <w:bCs w:val="0"/>
          <w:sz w:val="32"/>
          <w:szCs w:val="32"/>
          <w:lang w:eastAsia="zh-CN"/>
        </w:rPr>
        <w:t>。</w:t>
      </w:r>
      <w:r>
        <w:rPr>
          <w:rFonts w:hint="eastAsia" w:ascii="仿宋_GB2312" w:eastAsia="仿宋_GB2312"/>
          <w:sz w:val="32"/>
          <w:szCs w:val="32"/>
        </w:rPr>
        <w:t>202</w:t>
      </w:r>
      <w:r>
        <w:rPr>
          <w:rFonts w:hint="eastAsia" w:ascii="仿宋_GB2312" w:eastAsia="仿宋_GB2312"/>
          <w:sz w:val="32"/>
          <w:szCs w:val="32"/>
          <w:lang w:val="en-US" w:eastAsia="zh-CN"/>
        </w:rPr>
        <w:t>3</w:t>
      </w:r>
      <w:r>
        <w:rPr>
          <w:rFonts w:hint="eastAsia" w:ascii="仿宋_GB2312" w:eastAsia="仿宋_GB2312"/>
          <w:sz w:val="32"/>
          <w:szCs w:val="32"/>
        </w:rPr>
        <w:t>年</w:t>
      </w:r>
      <w:r>
        <w:rPr>
          <w:rFonts w:ascii="仿宋_GB2312" w:eastAsia="仿宋_GB2312"/>
          <w:sz w:val="32"/>
          <w:szCs w:val="32"/>
        </w:rPr>
        <w:t>，聊城市卫生健康委</w:t>
      </w:r>
      <w:r>
        <w:rPr>
          <w:rFonts w:hint="eastAsia" w:ascii="仿宋_GB2312" w:eastAsia="仿宋_GB2312"/>
          <w:sz w:val="32"/>
          <w:szCs w:val="32"/>
        </w:rPr>
        <w:t>根据《中华人民共和国政府信息公开条例》规定，均未收取费用。</w:t>
      </w:r>
    </w:p>
    <w:p>
      <w:pPr>
        <w:pStyle w:val="7"/>
        <w:keepNext w:val="0"/>
        <w:keepLines w:val="0"/>
        <w:pageBreakBefore w:val="0"/>
        <w:widowControl/>
        <w:kinsoku/>
        <w:wordWrap/>
        <w:overflowPunct/>
        <w:topLinePunct w:val="0"/>
        <w:autoSpaceDE/>
        <w:autoSpaceDN/>
        <w:bidi w:val="0"/>
        <w:spacing w:before="0" w:beforeAutospacing="0" w:after="0" w:afterAutospacing="0" w:line="600" w:lineRule="exact"/>
        <w:ind w:firstLine="800" w:firstLineChars="250"/>
        <w:jc w:val="both"/>
        <w:textAlignment w:val="auto"/>
        <w:rPr>
          <w:rFonts w:hint="eastAsia" w:ascii="CESI仿宋-GB13000" w:hAnsi="CESI仿宋-GB13000" w:eastAsia="CESI仿宋-GB13000" w:cs="CESI仿宋-GB13000"/>
          <w:b/>
          <w:bCs/>
          <w:sz w:val="32"/>
          <w:szCs w:val="32"/>
          <w:lang w:eastAsia="zh-CN"/>
        </w:rPr>
      </w:pPr>
      <w:r>
        <w:rPr>
          <w:rFonts w:hint="eastAsia" w:ascii="CESI楷体-GB13000" w:hAnsi="CESI楷体-GB13000" w:eastAsia="CESI楷体-GB13000" w:cs="CESI楷体-GB13000"/>
          <w:b w:val="0"/>
          <w:bCs w:val="0"/>
          <w:sz w:val="32"/>
          <w:szCs w:val="32"/>
          <w:lang w:eastAsia="zh-CN"/>
        </w:rPr>
        <w:t>（三）创新情况。</w:t>
      </w:r>
      <w:r>
        <w:rPr>
          <w:rFonts w:hint="eastAsia" w:ascii="CESI仿宋-GB13000" w:hAnsi="CESI仿宋-GB13000" w:eastAsia="CESI仿宋-GB13000" w:cs="CESI仿宋-GB13000"/>
          <w:b w:val="0"/>
          <w:bCs w:val="0"/>
          <w:sz w:val="32"/>
          <w:szCs w:val="32"/>
          <w:lang w:eastAsia="zh-CN"/>
        </w:rPr>
        <w:t>聚焦推动“高效办成一件事”，以政务公开工作助推政务服务提质增效，通过拓宽“一线应答”政民互动渠道、打造“一键查询”政策发布平台、规范“一网通办”政务服务清单等系列提升举措，积极打造“公开聊亮·聊健康”品牌，全面提升人民群众对卫生健康工作的满意度和获得感。</w:t>
      </w:r>
      <w:r>
        <w:rPr>
          <w:rFonts w:hint="eastAsia" w:ascii="CESI仿宋-GB13000" w:hAnsi="CESI仿宋-GB13000" w:eastAsia="CESI仿宋-GB13000" w:cs="CESI仿宋-GB13000"/>
          <w:b/>
          <w:bCs/>
          <w:color w:val="auto"/>
          <w:sz w:val="32"/>
          <w:szCs w:val="32"/>
          <w:highlight w:val="none"/>
          <w:lang w:eastAsia="zh-CN"/>
        </w:rPr>
        <w:t>一是拓宽“一线应答”</w:t>
      </w:r>
      <w:r>
        <w:rPr>
          <w:rFonts w:hint="eastAsia" w:ascii="CESI仿宋-GB13000" w:hAnsi="CESI仿宋-GB13000" w:eastAsia="CESI仿宋-GB13000" w:cs="CESI仿宋-GB13000"/>
          <w:b/>
          <w:bCs/>
          <w:color w:val="auto"/>
          <w:sz w:val="32"/>
          <w:szCs w:val="32"/>
          <w:highlight w:val="none"/>
          <w:lang w:val="en-US" w:eastAsia="zh-CN"/>
        </w:rPr>
        <w:t>政民互动</w:t>
      </w:r>
      <w:r>
        <w:rPr>
          <w:rFonts w:hint="eastAsia" w:ascii="CESI仿宋-GB13000" w:hAnsi="CESI仿宋-GB13000" w:eastAsia="CESI仿宋-GB13000" w:cs="CESI仿宋-GB13000"/>
          <w:b/>
          <w:bCs/>
          <w:color w:val="auto"/>
          <w:sz w:val="32"/>
          <w:szCs w:val="32"/>
          <w:highlight w:val="none"/>
          <w:lang w:eastAsia="zh-CN"/>
        </w:rPr>
        <w:t>渠道。</w:t>
      </w:r>
      <w:r>
        <w:rPr>
          <w:rFonts w:hint="eastAsia" w:ascii="仿宋" w:hAnsi="仿宋" w:eastAsia="仿宋" w:cs="仿宋"/>
          <w:color w:val="auto"/>
          <w:sz w:val="32"/>
          <w:szCs w:val="32"/>
          <w:lang w:eastAsia="zh-CN"/>
        </w:rPr>
        <w:t>依托市政府12345政务服务便民热线，</w:t>
      </w:r>
      <w:r>
        <w:rPr>
          <w:rFonts w:hint="eastAsia" w:ascii="仿宋" w:hAnsi="仿宋" w:eastAsia="仿宋" w:cs="仿宋"/>
          <w:color w:val="auto"/>
          <w:sz w:val="32"/>
          <w:szCs w:val="32"/>
          <w:lang w:val="en-US" w:eastAsia="zh-CN"/>
        </w:rPr>
        <w:t>整合</w:t>
      </w:r>
      <w:r>
        <w:rPr>
          <w:rFonts w:hint="eastAsia" w:ascii="仿宋" w:hAnsi="仿宋" w:eastAsia="仿宋" w:cs="仿宋"/>
          <w:color w:val="auto"/>
          <w:sz w:val="32"/>
          <w:szCs w:val="32"/>
          <w:lang w:eastAsia="zh-CN"/>
        </w:rPr>
        <w:t>卫健领域政务服务热线，行政机关带领多家医疗单位，成立工作专班，设置市民热线办理办公室，安排专职人员值守，第一时间承接</w:t>
      </w:r>
      <w:r>
        <w:rPr>
          <w:rFonts w:hint="eastAsia" w:ascii="仿宋" w:hAnsi="仿宋" w:eastAsia="仿宋" w:cs="仿宋"/>
          <w:color w:val="auto"/>
          <w:sz w:val="32"/>
          <w:szCs w:val="32"/>
          <w:lang w:val="en-US" w:eastAsia="zh-CN"/>
        </w:rPr>
        <w:t>并办理</w:t>
      </w:r>
      <w:r>
        <w:rPr>
          <w:rFonts w:hint="eastAsia" w:ascii="仿宋" w:hAnsi="仿宋" w:eastAsia="仿宋" w:cs="仿宋"/>
          <w:color w:val="auto"/>
          <w:sz w:val="32"/>
          <w:szCs w:val="32"/>
          <w:lang w:eastAsia="zh-CN"/>
        </w:rPr>
        <w:t>群众诉求，</w:t>
      </w:r>
      <w:r>
        <w:rPr>
          <w:rFonts w:hint="eastAsia" w:ascii="仿宋" w:hAnsi="仿宋" w:eastAsia="仿宋" w:cs="仿宋"/>
          <w:color w:val="auto"/>
          <w:sz w:val="32"/>
          <w:szCs w:val="32"/>
          <w:lang w:val="en-US" w:eastAsia="zh-CN"/>
        </w:rPr>
        <w:t>2023年热线问题</w:t>
      </w:r>
      <w:r>
        <w:rPr>
          <w:rFonts w:hint="eastAsia" w:ascii="仿宋" w:hAnsi="仿宋" w:eastAsia="仿宋" w:cs="仿宋"/>
          <w:color w:val="auto"/>
          <w:sz w:val="32"/>
          <w:szCs w:val="32"/>
          <w:lang w:eastAsia="zh-CN"/>
        </w:rPr>
        <w:t>解决率</w:t>
      </w:r>
      <w:r>
        <w:rPr>
          <w:rFonts w:hint="eastAsia" w:ascii="仿宋" w:hAnsi="仿宋" w:eastAsia="仿宋" w:cs="仿宋"/>
          <w:color w:val="auto"/>
          <w:sz w:val="32"/>
          <w:szCs w:val="32"/>
          <w:lang w:val="en-US" w:eastAsia="zh-CN"/>
        </w:rPr>
        <w:t>94.31%，</w:t>
      </w:r>
      <w:r>
        <w:rPr>
          <w:rFonts w:hint="eastAsia" w:ascii="仿宋" w:hAnsi="仿宋" w:eastAsia="仿宋" w:cs="仿宋"/>
          <w:color w:val="auto"/>
          <w:sz w:val="32"/>
          <w:szCs w:val="32"/>
          <w:lang w:eastAsia="zh-CN"/>
        </w:rPr>
        <w:t>综合满意度</w:t>
      </w:r>
      <w:r>
        <w:rPr>
          <w:rFonts w:hint="eastAsia" w:ascii="仿宋" w:hAnsi="仿宋" w:eastAsia="仿宋" w:cs="仿宋"/>
          <w:color w:val="auto"/>
          <w:sz w:val="32"/>
          <w:szCs w:val="32"/>
          <w:lang w:val="en-US" w:eastAsia="zh-CN"/>
        </w:rPr>
        <w:t>96.08</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在市直部门中位居前列</w:t>
      </w:r>
      <w:r>
        <w:rPr>
          <w:rFonts w:hint="eastAsia" w:ascii="仿宋" w:hAnsi="仿宋" w:eastAsia="仿宋" w:cs="仿宋"/>
          <w:color w:val="auto"/>
          <w:sz w:val="32"/>
          <w:szCs w:val="32"/>
          <w:lang w:eastAsia="zh-CN"/>
        </w:rPr>
        <w:t>。</w:t>
      </w:r>
      <w:r>
        <w:rPr>
          <w:rFonts w:hint="eastAsia" w:ascii="CESI仿宋-GB13000" w:hAnsi="CESI仿宋-GB13000" w:eastAsia="CESI仿宋-GB13000" w:cs="CESI仿宋-GB13000"/>
          <w:b/>
          <w:bCs/>
          <w:color w:val="auto"/>
          <w:sz w:val="32"/>
          <w:szCs w:val="32"/>
          <w:highlight w:val="none"/>
          <w:lang w:eastAsia="zh-CN"/>
        </w:rPr>
        <w:t>二是打造“</w:t>
      </w:r>
      <w:r>
        <w:rPr>
          <w:rFonts w:hint="eastAsia" w:ascii="CESI仿宋-GB13000" w:hAnsi="CESI仿宋-GB13000" w:eastAsia="CESI仿宋-GB13000" w:cs="CESI仿宋-GB13000"/>
          <w:b/>
          <w:bCs/>
          <w:color w:val="auto"/>
          <w:sz w:val="32"/>
          <w:szCs w:val="32"/>
          <w:highlight w:val="none"/>
          <w:lang w:val="en-US" w:eastAsia="zh-CN"/>
        </w:rPr>
        <w:t>一键查询</w:t>
      </w:r>
      <w:r>
        <w:rPr>
          <w:rFonts w:hint="eastAsia" w:ascii="CESI仿宋-GB13000" w:hAnsi="CESI仿宋-GB13000" w:eastAsia="CESI仿宋-GB13000" w:cs="CESI仿宋-GB13000"/>
          <w:b/>
          <w:bCs/>
          <w:color w:val="auto"/>
          <w:sz w:val="32"/>
          <w:szCs w:val="32"/>
          <w:highlight w:val="none"/>
          <w:lang w:eastAsia="zh-CN"/>
        </w:rPr>
        <w:t>”</w:t>
      </w:r>
      <w:r>
        <w:rPr>
          <w:rFonts w:hint="eastAsia" w:ascii="CESI仿宋-GB13000" w:hAnsi="CESI仿宋-GB13000" w:eastAsia="CESI仿宋-GB13000" w:cs="CESI仿宋-GB13000"/>
          <w:b/>
          <w:bCs/>
          <w:color w:val="auto"/>
          <w:sz w:val="32"/>
          <w:szCs w:val="32"/>
          <w:highlight w:val="none"/>
          <w:lang w:val="en-US" w:eastAsia="zh-CN"/>
        </w:rPr>
        <w:t>政策发布</w:t>
      </w:r>
      <w:r>
        <w:rPr>
          <w:rFonts w:hint="eastAsia" w:ascii="CESI仿宋-GB13000" w:hAnsi="CESI仿宋-GB13000" w:eastAsia="CESI仿宋-GB13000" w:cs="CESI仿宋-GB13000"/>
          <w:b/>
          <w:bCs/>
          <w:color w:val="auto"/>
          <w:sz w:val="32"/>
          <w:szCs w:val="32"/>
          <w:highlight w:val="none"/>
          <w:lang w:eastAsia="zh-CN"/>
        </w:rPr>
        <w:t>平台。</w:t>
      </w:r>
      <w:r>
        <w:rPr>
          <w:rStyle w:val="10"/>
          <w:rFonts w:hint="eastAsia" w:ascii="仿宋" w:hAnsi="仿宋" w:eastAsia="仿宋" w:cs="仿宋"/>
          <w:b w:val="0"/>
          <w:bCs w:val="0"/>
          <w:i w:val="0"/>
          <w:iCs w:val="0"/>
          <w:caps w:val="0"/>
          <w:color w:val="auto"/>
          <w:spacing w:val="0"/>
          <w:kern w:val="0"/>
          <w:sz w:val="32"/>
          <w:szCs w:val="32"/>
          <w:shd w:val="clear" w:color="auto" w:fill="FFFFFF"/>
          <w:lang w:val="en-US" w:eastAsia="zh-CN" w:bidi="ar"/>
        </w:rPr>
        <w:t>建设以“聊城卫生健康”官方微信公众号为核心、</w:t>
      </w:r>
      <w:r>
        <w:rPr>
          <w:rStyle w:val="10"/>
          <w:rFonts w:hint="eastAsia" w:ascii="CESI仿宋-GB2312" w:hAnsi="CESI仿宋-GB2312" w:eastAsia="CESI仿宋-GB2312" w:cs="CESI仿宋-GB2312"/>
          <w:b w:val="0"/>
          <w:bCs w:val="0"/>
          <w:i w:val="0"/>
          <w:iCs w:val="0"/>
          <w:caps w:val="0"/>
          <w:color w:val="auto"/>
          <w:spacing w:val="0"/>
          <w:kern w:val="0"/>
          <w:sz w:val="32"/>
          <w:szCs w:val="32"/>
          <w:shd w:val="clear" w:color="auto" w:fill="FFFFFF"/>
          <w:lang w:val="en-US" w:eastAsia="zh-CN" w:bidi="ar"/>
        </w:rPr>
        <w:t>一“码”触达8个县（市、区）卫健局及11个市直医疗卫生机构</w:t>
      </w:r>
      <w:r>
        <w:rPr>
          <w:rStyle w:val="10"/>
          <w:rFonts w:hint="eastAsia" w:ascii="仿宋" w:hAnsi="仿宋" w:eastAsia="仿宋" w:cs="仿宋"/>
          <w:b w:val="0"/>
          <w:bCs w:val="0"/>
          <w:i w:val="0"/>
          <w:iCs w:val="0"/>
          <w:caps w:val="0"/>
          <w:color w:val="auto"/>
          <w:spacing w:val="0"/>
          <w:kern w:val="0"/>
          <w:sz w:val="32"/>
          <w:szCs w:val="32"/>
          <w:shd w:val="clear" w:color="auto" w:fill="FFFFFF"/>
          <w:lang w:val="en-US" w:eastAsia="zh-CN" w:bidi="ar"/>
        </w:rPr>
        <w:t>的政务新媒体矩阵，</w:t>
      </w:r>
      <w:r>
        <w:rPr>
          <w:rFonts w:hint="eastAsia" w:ascii="仿宋" w:hAnsi="仿宋" w:eastAsia="仿宋" w:cs="仿宋"/>
          <w:color w:val="auto"/>
          <w:sz w:val="32"/>
          <w:szCs w:val="32"/>
          <w:lang w:eastAsia="zh-CN"/>
        </w:rPr>
        <w:t>开通“政策速递”专栏，</w:t>
      </w:r>
      <w:r>
        <w:rPr>
          <w:rFonts w:hint="eastAsia" w:ascii="仿宋" w:hAnsi="仿宋" w:eastAsia="仿宋" w:cs="仿宋"/>
          <w:color w:val="auto"/>
          <w:sz w:val="32"/>
          <w:szCs w:val="32"/>
          <w:lang w:val="en-US" w:eastAsia="zh-CN"/>
        </w:rPr>
        <w:t>集中展示</w:t>
      </w:r>
      <w:r>
        <w:rPr>
          <w:rFonts w:hint="eastAsia" w:ascii="仿宋" w:hAnsi="仿宋" w:eastAsia="仿宋" w:cs="仿宋"/>
          <w:color w:val="auto"/>
          <w:sz w:val="32"/>
          <w:szCs w:val="32"/>
          <w:lang w:eastAsia="zh-CN"/>
        </w:rPr>
        <w:t>资金奖励、费用减免、保险补贴、婴幼儿照护等</w:t>
      </w:r>
      <w:r>
        <w:rPr>
          <w:rStyle w:val="10"/>
          <w:rFonts w:hint="eastAsia" w:ascii="仿宋" w:hAnsi="仿宋" w:eastAsia="仿宋" w:cs="仿宋"/>
          <w:b w:val="0"/>
          <w:bCs w:val="0"/>
          <w:i w:val="0"/>
          <w:iCs w:val="0"/>
          <w:caps w:val="0"/>
          <w:color w:val="auto"/>
          <w:spacing w:val="0"/>
          <w:kern w:val="0"/>
          <w:sz w:val="32"/>
          <w:szCs w:val="32"/>
          <w:shd w:val="clear" w:color="auto" w:fill="FFFFFF"/>
          <w:lang w:val="en-US" w:eastAsia="zh-CN" w:bidi="ar"/>
        </w:rPr>
        <w:t>部门规章、政策文件、相关司法解释及配套政策解读材料，以多形式、立体化、快节奏的发布，</w:t>
      </w:r>
      <w:r>
        <w:rPr>
          <w:rFonts w:hint="eastAsia" w:ascii="仿宋" w:hAnsi="仿宋" w:eastAsia="仿宋" w:cs="仿宋"/>
          <w:color w:val="auto"/>
          <w:sz w:val="32"/>
          <w:szCs w:val="32"/>
          <w:lang w:val="en-US" w:eastAsia="zh-CN"/>
        </w:rPr>
        <w:t>实现</w:t>
      </w:r>
      <w:r>
        <w:rPr>
          <w:rStyle w:val="10"/>
          <w:rFonts w:hint="eastAsia" w:ascii="仿宋" w:hAnsi="仿宋" w:eastAsia="仿宋" w:cs="仿宋"/>
          <w:b w:val="0"/>
          <w:bCs w:val="0"/>
          <w:i w:val="0"/>
          <w:iCs w:val="0"/>
          <w:caps w:val="0"/>
          <w:color w:val="auto"/>
          <w:spacing w:val="0"/>
          <w:kern w:val="0"/>
          <w:sz w:val="32"/>
          <w:szCs w:val="32"/>
          <w:shd w:val="clear" w:color="auto" w:fill="FFFFFF"/>
          <w:lang w:val="en-US" w:eastAsia="zh-CN" w:bidi="ar"/>
        </w:rPr>
        <w:t>信息</w:t>
      </w:r>
      <w:r>
        <w:rPr>
          <w:rFonts w:hint="eastAsia" w:ascii="仿宋" w:hAnsi="仿宋" w:eastAsia="仿宋" w:cs="仿宋"/>
          <w:color w:val="auto"/>
          <w:kern w:val="2"/>
          <w:sz w:val="32"/>
          <w:szCs w:val="32"/>
          <w:lang w:val="en-US" w:eastAsia="zh-CN" w:bidi="ar-SA"/>
        </w:rPr>
        <w:t>“一键查询”。</w:t>
      </w:r>
      <w:r>
        <w:rPr>
          <w:rFonts w:hint="eastAsia" w:ascii="CESI仿宋-GB13000" w:hAnsi="CESI仿宋-GB13000" w:eastAsia="CESI仿宋-GB13000" w:cs="CESI仿宋-GB13000"/>
          <w:b/>
          <w:bCs/>
          <w:color w:val="auto"/>
          <w:sz w:val="32"/>
          <w:szCs w:val="32"/>
          <w:highlight w:val="none"/>
          <w:lang w:eastAsia="zh-CN"/>
        </w:rPr>
        <w:t>三是规范“一网通办”</w:t>
      </w:r>
      <w:r>
        <w:rPr>
          <w:rFonts w:hint="eastAsia" w:ascii="CESI仿宋-GB13000" w:hAnsi="CESI仿宋-GB13000" w:eastAsia="CESI仿宋-GB13000" w:cs="CESI仿宋-GB13000"/>
          <w:b/>
          <w:bCs/>
          <w:color w:val="auto"/>
          <w:sz w:val="32"/>
          <w:szCs w:val="32"/>
          <w:highlight w:val="none"/>
          <w:lang w:val="en-US" w:eastAsia="zh-CN"/>
        </w:rPr>
        <w:t>政务</w:t>
      </w:r>
      <w:r>
        <w:rPr>
          <w:rFonts w:hint="eastAsia" w:ascii="CESI仿宋-GB13000" w:hAnsi="CESI仿宋-GB13000" w:eastAsia="CESI仿宋-GB13000" w:cs="CESI仿宋-GB13000"/>
          <w:b/>
          <w:bCs/>
          <w:color w:val="auto"/>
          <w:sz w:val="32"/>
          <w:szCs w:val="32"/>
          <w:highlight w:val="none"/>
          <w:lang w:eastAsia="zh-CN"/>
        </w:rPr>
        <w:t>服务清单。</w:t>
      </w:r>
      <w:r>
        <w:rPr>
          <w:rStyle w:val="10"/>
          <w:rFonts w:hint="eastAsia" w:ascii="仿宋" w:hAnsi="仿宋" w:eastAsia="仿宋" w:cs="仿宋"/>
          <w:b w:val="0"/>
          <w:bCs w:val="0"/>
          <w:i w:val="0"/>
          <w:iCs w:val="0"/>
          <w:caps w:val="0"/>
          <w:color w:val="auto"/>
          <w:spacing w:val="0"/>
          <w:kern w:val="0"/>
          <w:sz w:val="32"/>
          <w:szCs w:val="32"/>
          <w:shd w:val="clear" w:color="auto" w:fill="FFFFFF"/>
          <w:lang w:val="en-US" w:eastAsia="zh-CN" w:bidi="ar"/>
        </w:rPr>
        <w:t>推行“清单标准化管理”，编制中医医疗机构变更登记、海外留学回国服务人员医师资格认定等47个卫生健康领域行政许可事项目录清单</w:t>
      </w:r>
      <w:r>
        <w:rPr>
          <w:rFonts w:hint="eastAsia" w:ascii="仿宋" w:hAnsi="仿宋" w:eastAsia="仿宋" w:cs="仿宋"/>
          <w:color w:val="auto"/>
          <w:sz w:val="32"/>
          <w:szCs w:val="32"/>
          <w:lang w:eastAsia="zh-CN"/>
        </w:rPr>
        <w:t>，制定</w:t>
      </w:r>
      <w:r>
        <w:rPr>
          <w:rFonts w:hint="eastAsia" w:ascii="仿宋" w:hAnsi="仿宋" w:eastAsia="仿宋" w:cs="仿宋"/>
          <w:color w:val="auto"/>
          <w:sz w:val="32"/>
          <w:szCs w:val="32"/>
          <w:lang w:val="en-US" w:eastAsia="zh-CN"/>
        </w:rPr>
        <w:t>要素齐全、统一规范的</w:t>
      </w:r>
      <w:r>
        <w:rPr>
          <w:rFonts w:hint="eastAsia" w:ascii="仿宋" w:hAnsi="仿宋" w:eastAsia="仿宋" w:cs="仿宋"/>
          <w:color w:val="auto"/>
          <w:sz w:val="32"/>
          <w:szCs w:val="32"/>
          <w:lang w:eastAsia="zh-CN"/>
        </w:rPr>
        <w:t>政务服务</w:t>
      </w:r>
      <w:r>
        <w:rPr>
          <w:rFonts w:hint="eastAsia" w:ascii="仿宋" w:hAnsi="仿宋" w:eastAsia="仿宋" w:cs="仿宋"/>
          <w:color w:val="auto"/>
          <w:sz w:val="32"/>
          <w:szCs w:val="32"/>
          <w:lang w:val="en-US" w:eastAsia="zh-CN"/>
        </w:rPr>
        <w:t>事项办理</w:t>
      </w:r>
      <w:r>
        <w:rPr>
          <w:rFonts w:hint="eastAsia" w:ascii="仿宋" w:hAnsi="仿宋" w:eastAsia="仿宋" w:cs="仿宋"/>
          <w:color w:val="auto"/>
          <w:sz w:val="32"/>
          <w:szCs w:val="32"/>
          <w:lang w:eastAsia="zh-CN"/>
        </w:rPr>
        <w:t>指南并</w:t>
      </w:r>
      <w:r>
        <w:rPr>
          <w:rFonts w:hint="eastAsia" w:ascii="仿宋" w:hAnsi="仿宋" w:eastAsia="仿宋" w:cs="仿宋"/>
          <w:color w:val="auto"/>
          <w:sz w:val="32"/>
          <w:szCs w:val="32"/>
          <w:lang w:val="en-US" w:eastAsia="zh-CN"/>
        </w:rPr>
        <w:t>在市政务服务云大厅、爱山东APP等平台</w:t>
      </w:r>
      <w:r>
        <w:rPr>
          <w:rFonts w:hint="eastAsia" w:ascii="仿宋" w:hAnsi="仿宋" w:eastAsia="仿宋" w:cs="仿宋"/>
          <w:color w:val="auto"/>
          <w:sz w:val="32"/>
          <w:szCs w:val="32"/>
          <w:lang w:eastAsia="zh-CN"/>
        </w:rPr>
        <w:t>发布，办事材料精简率超过60%，</w:t>
      </w:r>
      <w:r>
        <w:rPr>
          <w:rFonts w:hint="eastAsia" w:ascii="仿宋" w:hAnsi="仿宋" w:eastAsia="仿宋" w:cs="仿宋"/>
          <w:color w:val="auto"/>
          <w:sz w:val="32"/>
          <w:szCs w:val="32"/>
          <w:lang w:val="en-US" w:eastAsia="zh-CN"/>
        </w:rPr>
        <w:t>事项办理</w:t>
      </w:r>
      <w:r>
        <w:rPr>
          <w:rFonts w:hint="eastAsia" w:ascii="仿宋" w:hAnsi="仿宋" w:eastAsia="仿宋" w:cs="仿宋"/>
          <w:color w:val="auto"/>
          <w:sz w:val="32"/>
          <w:szCs w:val="32"/>
          <w:lang w:eastAsia="zh-CN"/>
        </w:rPr>
        <w:t>整体提速85%，为企业和群众办事提供清晰指引</w:t>
      </w:r>
      <w:r>
        <w:rPr>
          <w:rFonts w:hint="eastAsia" w:ascii="仿宋" w:hAnsi="仿宋" w:eastAsia="仿宋" w:cs="仿宋"/>
          <w:color w:val="auto"/>
          <w:sz w:val="32"/>
          <w:szCs w:val="32"/>
          <w:lang w:val="en-US" w:eastAsia="zh-CN"/>
        </w:rPr>
        <w:t>的同时，促进审批审批效能提升，赢得社会各界广泛好评。</w:t>
      </w:r>
    </w:p>
    <w:p>
      <w:pPr>
        <w:spacing w:line="600" w:lineRule="exact"/>
        <w:ind w:firstLine="640" w:firstLineChars="200"/>
        <w:rPr>
          <w:rFonts w:hint="eastAsia" w:ascii="CESI仿宋-GB13000" w:hAnsi="CESI仿宋-GB13000" w:eastAsia="CESI仿宋-GB13000" w:cs="CESI仿宋-GB13000"/>
          <w:b w:val="0"/>
          <w:bCs w:val="0"/>
          <w:sz w:val="32"/>
          <w:szCs w:val="32"/>
          <w:lang w:eastAsia="zh-CN"/>
        </w:rPr>
      </w:pPr>
      <w:r>
        <w:rPr>
          <w:rFonts w:hint="eastAsia" w:ascii="CESI楷体-GB13000" w:hAnsi="CESI楷体-GB13000" w:eastAsia="CESI楷体-GB13000" w:cs="CESI楷体-GB13000"/>
          <w:b w:val="0"/>
          <w:bCs w:val="0"/>
          <w:sz w:val="32"/>
          <w:szCs w:val="32"/>
          <w:lang w:eastAsia="zh-CN"/>
        </w:rPr>
        <w:t>（四）落实上级年度政务公开工作要点情况。</w:t>
      </w:r>
      <w:r>
        <w:rPr>
          <w:rFonts w:hint="eastAsia" w:ascii="CESI仿宋-GB13000" w:hAnsi="CESI仿宋-GB13000" w:eastAsia="CESI仿宋-GB13000" w:cs="CESI仿宋-GB13000"/>
          <w:b/>
          <w:bCs/>
          <w:sz w:val="32"/>
          <w:szCs w:val="32"/>
          <w:lang w:eastAsia="zh-CN"/>
        </w:rPr>
        <w:t>一是深入实施政务公开分类制度，</w:t>
      </w:r>
      <w:r>
        <w:rPr>
          <w:rFonts w:hint="eastAsia" w:ascii="CESI仿宋-GB13000" w:hAnsi="CESI仿宋-GB13000" w:eastAsia="CESI仿宋-GB13000" w:cs="CESI仿宋-GB13000"/>
          <w:b w:val="0"/>
          <w:bCs w:val="0"/>
          <w:sz w:val="32"/>
          <w:szCs w:val="32"/>
          <w:lang w:eastAsia="zh-CN"/>
        </w:rPr>
        <w:t>重点完善经常性政务公开、必要性政务公开分类标准，形成完善的政务公开机制。根据行业规定和实际工作需要，确定经常性以及必要性政务公开的范围和内容。</w:t>
      </w:r>
      <w:r>
        <w:rPr>
          <w:rFonts w:hint="eastAsia" w:ascii="CESI仿宋-GB13000" w:hAnsi="CESI仿宋-GB13000" w:eastAsia="CESI仿宋-GB13000" w:cs="CESI仿宋-GB13000"/>
          <w:b/>
          <w:bCs/>
          <w:sz w:val="32"/>
          <w:szCs w:val="32"/>
          <w:lang w:eastAsia="zh-CN"/>
        </w:rPr>
        <w:t>二是认真做好政务信息网站建设工作，</w:t>
      </w:r>
      <w:r>
        <w:rPr>
          <w:rFonts w:hint="eastAsia" w:ascii="CESI仿宋-GB13000" w:hAnsi="CESI仿宋-GB13000" w:eastAsia="CESI仿宋-GB13000" w:cs="CESI仿宋-GB13000"/>
          <w:b w:val="0"/>
          <w:bCs w:val="0"/>
          <w:sz w:val="32"/>
          <w:szCs w:val="32"/>
          <w:lang w:eastAsia="zh-CN"/>
        </w:rPr>
        <w:t>适应新形势变化，推进政务网站优化改造，不断改进网站建设和内容管理，优化网站界面，提高网站综合使用效果。</w:t>
      </w:r>
      <w:r>
        <w:rPr>
          <w:rFonts w:hint="eastAsia" w:ascii="CESI仿宋-GB13000" w:hAnsi="CESI仿宋-GB13000" w:eastAsia="CESI仿宋-GB13000" w:cs="CESI仿宋-GB13000"/>
          <w:b/>
          <w:bCs/>
          <w:sz w:val="32"/>
          <w:szCs w:val="32"/>
          <w:lang w:eastAsia="zh-CN"/>
        </w:rPr>
        <w:t>三是加强全员政务公开教育和宣传，</w:t>
      </w:r>
      <w:r>
        <w:rPr>
          <w:rFonts w:hint="eastAsia" w:ascii="CESI仿宋-GB13000" w:hAnsi="CESI仿宋-GB13000" w:eastAsia="CESI仿宋-GB13000" w:cs="CESI仿宋-GB13000"/>
          <w:b w:val="0"/>
          <w:bCs w:val="0"/>
          <w:sz w:val="32"/>
          <w:szCs w:val="32"/>
          <w:lang w:eastAsia="zh-CN"/>
        </w:rPr>
        <w:t>坚持每季度对政务公开工作人员的培训，建立持续维护机制，提升相关单位的政务公开能力，引导全体职工牢固树立政务公开理念和落实政务公开制度的意识。</w:t>
      </w:r>
      <w:r>
        <w:rPr>
          <w:rFonts w:hint="eastAsia" w:ascii="CESI仿宋-GB13000" w:hAnsi="CESI仿宋-GB13000" w:eastAsia="CESI仿宋-GB13000" w:cs="CESI仿宋-GB13000"/>
          <w:b/>
          <w:bCs/>
          <w:sz w:val="32"/>
          <w:szCs w:val="32"/>
          <w:lang w:eastAsia="zh-CN"/>
        </w:rPr>
        <w:t>四是推行政务公开年度评价，</w:t>
      </w:r>
      <w:r>
        <w:rPr>
          <w:rFonts w:hint="eastAsia" w:ascii="CESI仿宋-GB13000" w:hAnsi="CESI仿宋-GB13000" w:eastAsia="CESI仿宋-GB13000" w:cs="CESI仿宋-GB13000"/>
          <w:b w:val="0"/>
          <w:bCs w:val="0"/>
          <w:sz w:val="32"/>
          <w:szCs w:val="32"/>
          <w:lang w:eastAsia="zh-CN"/>
        </w:rPr>
        <w:t>将政务公开工作列入对市直各医疗卫生单位的绩效考核，建立监测机制，明确政务公开工作要点和绩效评估标准,对落实情况进行全面测算。</w:t>
      </w:r>
    </w:p>
    <w:p>
      <w:pPr>
        <w:spacing w:line="600" w:lineRule="exact"/>
        <w:ind w:firstLine="640" w:firstLineChars="200"/>
        <w:rPr>
          <w:rFonts w:hint="eastAsia" w:ascii="仿宋_GB2312" w:eastAsia="仿宋_GB2312"/>
          <w:sz w:val="32"/>
          <w:szCs w:val="32"/>
        </w:rPr>
      </w:pPr>
      <w:bookmarkStart w:id="10" w:name="_GoBack"/>
      <w:bookmarkEnd w:id="10"/>
    </w:p>
    <w:sectPr>
      <w:footerReference r:id="rId3" w:type="default"/>
      <w:footerReference r:id="rId4" w:type="even"/>
      <w:pgSz w:w="11906" w:h="16838"/>
      <w:pgMar w:top="2098" w:right="1474" w:bottom="1984" w:left="1587" w:header="851" w:footer="1417" w:gutter="0"/>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ESI楷体-GB13000">
    <w:altName w:val="楷体_GB2312"/>
    <w:panose1 w:val="02000500000000000000"/>
    <w:charset w:val="86"/>
    <w:family w:val="auto"/>
    <w:pitch w:val="default"/>
    <w:sig w:usb0="00000000" w:usb1="00000000" w:usb2="00000016" w:usb3="00000000" w:csb0="0004000F" w:csb1="00000000"/>
  </w:font>
  <w:font w:name="CESI黑体-GB13000">
    <w:altName w:val="黑体"/>
    <w:panose1 w:val="02000500000000000000"/>
    <w:charset w:val="86"/>
    <w:family w:val="auto"/>
    <w:pitch w:val="default"/>
    <w:sig w:usb0="00000000" w:usb1="00000000" w:usb2="00000016" w:usb3="00000000" w:csb0="0004000F" w:csb1="00000000"/>
  </w:font>
  <w:font w:name="楷体">
    <w:panose1 w:val="02010609060101010101"/>
    <w:charset w:val="86"/>
    <w:family w:val="modern"/>
    <w:pitch w:val="default"/>
    <w:sig w:usb0="800002BF" w:usb1="38CF7CFA" w:usb2="00000016" w:usb3="00000000" w:csb0="00040001" w:csb1="00000000"/>
  </w:font>
  <w:font w:name="CESI仿宋-GB13000">
    <w:altName w:val="仿宋"/>
    <w:panose1 w:val="02000500000000000000"/>
    <w:charset w:val="86"/>
    <w:family w:val="auto"/>
    <w:pitch w:val="default"/>
    <w:sig w:usb0="00000000" w:usb1="00000000" w:usb2="00000016" w:usb3="00000000" w:csb0="0004000F" w:csb1="00000000"/>
  </w:font>
  <w:font w:name="仿宋">
    <w:panose1 w:val="02010609060101010101"/>
    <w:charset w:val="86"/>
    <w:family w:val="auto"/>
    <w:pitch w:val="default"/>
    <w:sig w:usb0="800002BF" w:usb1="38CF7CFA" w:usb2="00000016" w:usb3="00000000" w:csb0="00040001" w:csb1="00000000"/>
  </w:font>
  <w:font w:name="CESI仿宋-GB2312">
    <w:altName w:val="仿宋"/>
    <w:panose1 w:val="02000500000000000000"/>
    <w:charset w:val="86"/>
    <w:family w:val="auto"/>
    <w:pitch w:val="default"/>
    <w:sig w:usb0="00000000" w:usb1="00000000" w:usb2="00000010"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docPartObj>
        <w:docPartGallery w:val="autotext"/>
      </w:docPartObj>
    </w:sdtPr>
    <w:sdtEndPr>
      <w:rPr>
        <w:rFonts w:ascii="宋体" w:hAnsi="宋体" w:eastAsia="宋体"/>
        <w:sz w:val="28"/>
        <w:szCs w:val="28"/>
      </w:rPr>
    </w:sdtEndPr>
    <w:sdtContent>
      <w:p>
        <w:pPr>
          <w:pStyle w:val="4"/>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bordersDoNotSurroundHeader w:val="0"/>
  <w:bordersDoNotSurroundFooter w:val="0"/>
  <w:documentProtection w:enforcement="0"/>
  <w:defaultTabStop w:val="420"/>
  <w:drawingGridHorizontalSpacing w:val="210"/>
  <w:drawingGridVerticalSpacing w:val="290"/>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NkZTQ4MjgwNzNiYzE4ZTUyODY2YzVmNjNjYmI3MTQifQ=="/>
  </w:docVars>
  <w:rsids>
    <w:rsidRoot w:val="00CB63D1"/>
    <w:rsid w:val="00022AAA"/>
    <w:rsid w:val="000E1E7C"/>
    <w:rsid w:val="001E1F91"/>
    <w:rsid w:val="00266991"/>
    <w:rsid w:val="0027479F"/>
    <w:rsid w:val="002D7F9F"/>
    <w:rsid w:val="0036007F"/>
    <w:rsid w:val="00397CF8"/>
    <w:rsid w:val="00563328"/>
    <w:rsid w:val="008E39CD"/>
    <w:rsid w:val="009554FD"/>
    <w:rsid w:val="009E446A"/>
    <w:rsid w:val="00A90400"/>
    <w:rsid w:val="00B7698A"/>
    <w:rsid w:val="00B83CAB"/>
    <w:rsid w:val="00C654CB"/>
    <w:rsid w:val="00C97F51"/>
    <w:rsid w:val="00CB1DB6"/>
    <w:rsid w:val="00CB63D1"/>
    <w:rsid w:val="00F00377"/>
    <w:rsid w:val="00F97B01"/>
    <w:rsid w:val="020460F9"/>
    <w:rsid w:val="07065682"/>
    <w:rsid w:val="07DD54DA"/>
    <w:rsid w:val="09207291"/>
    <w:rsid w:val="11B53208"/>
    <w:rsid w:val="11CC269A"/>
    <w:rsid w:val="128D08C1"/>
    <w:rsid w:val="136A2E67"/>
    <w:rsid w:val="170A38F0"/>
    <w:rsid w:val="18405C96"/>
    <w:rsid w:val="1DD24382"/>
    <w:rsid w:val="23CE409D"/>
    <w:rsid w:val="2A175F4C"/>
    <w:rsid w:val="2DE009FB"/>
    <w:rsid w:val="2E7C6549"/>
    <w:rsid w:val="34B471B6"/>
    <w:rsid w:val="352F23FB"/>
    <w:rsid w:val="39564B48"/>
    <w:rsid w:val="3DD753D0"/>
    <w:rsid w:val="3F585B2F"/>
    <w:rsid w:val="45B56FAD"/>
    <w:rsid w:val="4A0A6403"/>
    <w:rsid w:val="4ABA5868"/>
    <w:rsid w:val="4CFB5A4E"/>
    <w:rsid w:val="4DBF0BFF"/>
    <w:rsid w:val="4EF72B17"/>
    <w:rsid w:val="53FDC4BE"/>
    <w:rsid w:val="59203D88"/>
    <w:rsid w:val="601670FF"/>
    <w:rsid w:val="6294286D"/>
    <w:rsid w:val="6CFFA9A1"/>
    <w:rsid w:val="724A1620"/>
    <w:rsid w:val="72515459"/>
    <w:rsid w:val="B1F707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widowControl w:val="0"/>
      <w:ind w:firstLine="420" w:firstLineChars="200"/>
      <w:jc w:val="both"/>
    </w:pPr>
    <w:rPr>
      <w:rFonts w:ascii="Calibri" w:hAnsi="Calibri" w:eastAsia="宋体" w:cs="Times New Roman"/>
      <w:kern w:val="2"/>
      <w:sz w:val="21"/>
      <w:szCs w:val="24"/>
      <w:lang w:val="en-US" w:eastAsia="zh-CN" w:bidi="ar-SA"/>
    </w:rPr>
  </w:style>
  <w:style w:type="paragraph" w:styleId="3">
    <w:name w:val="Date"/>
    <w:basedOn w:val="1"/>
    <w:next w:val="1"/>
    <w:link w:val="14"/>
    <w:semiHidden/>
    <w:unhideWhenUsed/>
    <w:qFormat/>
    <w:uiPriority w:val="99"/>
    <w:pPr>
      <w:ind w:left="100" w:leftChars="25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tabs>
        <w:tab w:val="center" w:pos="4153"/>
        <w:tab w:val="right" w:pos="8306"/>
      </w:tabs>
      <w:snapToGrid w:val="0"/>
      <w:jc w:val="center"/>
    </w:pPr>
    <w:rPr>
      <w:sz w:val="18"/>
      <w:szCs w:val="18"/>
    </w:rPr>
  </w:style>
  <w:style w:type="paragraph" w:styleId="6">
    <w:name w:val="toc 1"/>
    <w:basedOn w:val="1"/>
    <w:next w:val="1"/>
    <w:qFormat/>
    <w:uiPriority w:val="0"/>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10">
    <w:name w:val="Strong"/>
    <w:basedOn w:val="9"/>
    <w:qFormat/>
    <w:uiPriority w:val="0"/>
    <w:rPr>
      <w:b/>
    </w:rPr>
  </w:style>
  <w:style w:type="character" w:customStyle="1" w:styleId="11">
    <w:name w:val="页眉 字符"/>
    <w:basedOn w:val="9"/>
    <w:link w:val="5"/>
    <w:qFormat/>
    <w:uiPriority w:val="99"/>
    <w:rPr>
      <w:sz w:val="18"/>
      <w:szCs w:val="18"/>
    </w:rPr>
  </w:style>
  <w:style w:type="character" w:customStyle="1" w:styleId="12">
    <w:name w:val="页脚 字符"/>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日期 字符"/>
    <w:basedOn w:val="9"/>
    <w:link w:val="3"/>
    <w:semiHidden/>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646</Words>
  <Characters>3685</Characters>
  <Lines>30</Lines>
  <Paragraphs>8</Paragraphs>
  <TotalTime>0</TotalTime>
  <ScaleCrop>false</ScaleCrop>
  <LinksUpToDate>false</LinksUpToDate>
  <CharactersWithSpaces>4323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2024-01-02T07:20:00Z</dcterms:created>
  <dc:creator>元华 戚</dc:creator>
  <cp:lastModifiedBy>lenovo01</cp:lastModifiedBy>
  <cp:lastPrinted>2024-01-03T00:50:00Z</cp:lastPrinted>
  <dcterms:modified xsi:type="dcterms:W3CDTF">2024-04-29T01:46:18Z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059FA66A6E2BAE9C6FA29865239B4F53</vt:lpwstr>
  </property>
</Properties>
</file>